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716-2013, promovido por doña Ana Fernández Martín, Letrada en ejercicio que actúa en su propio nombre y derecho, contra la resolución sancionadora de 18 de septiembre de 2009, dictada por el Director General de Movilidad del Ayuntamiento de Madrid en el expediente núm. 26936875.9, y contra la Sentencia del Juzgado de lo Contencioso-Administrativo núm. 2 de Madrid, de 10 de enero de 2013, en el procedimiento abreviado núm. 975-2009. Han intervenido la Letrada del Ayuntamiento de Madrid actuando en representación del mismo, y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recurrente en amparo, actuando en su propio nombre y derecho, presentó en el Registro General de este Tribunal Constitucional, con fecha 6 de febrero de 2013,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los que se fundamenta este recurso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5 de febrero de 2009 un controlador del servicio de estacionamiento regulado del Ayuntamiento de Madrid formuló denuncia relacionada con un vehículo marca Suzuki y modelo Vitara (matrícula 4623CYD), por haber estacionado con el distintivo que lo permite con limitación horaria pero rebasando el tiempo máximo, incoándose a raíz de ello el correspondiente expediente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Fue notificada la denuncia y la incoación del expediente a doña Ana Fernández Martín, titular del automóvil señalado, abogada de profesión y hoy demandante de amparo, requiriéndosele para que, en caso de no haber sido la persona responsable de la infracción, procediera a comunicar los datos de quien conducía el vehículo, con advertencia de que la omisión de cualquiera de los datos señalados en el impreso de referencia motivaría responsabilidad por incumplimiento, de conformidad con lo prescrito en el art. 72.3 del Real Decreto Legislativo 339/1990, de 2 de marzo, por el que se aprueba el texto articulado de la Ley sobre tráfico, circulación de vehículos a motor y seguridad vial, según redacción dada por la Ley 17/2005, de 19 de julio, por la que se regula el permiso y la licencia de conducción por puntos y se modifica el texto articulado de la Ley sobre tráfico, circulación de vehículos a motor y seguridad vial (LSV).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titular del vehículo rellenó el apartado del impreso al que se refería el mencionado requerimiento, indicando los datos de la persona que conducía el vehículo, identificando como tal a don José Luis Fernández García, con domicilio en el Paseo de la Castellana 201, 16-9, 28046, Madrid, que era el mismo fijado por la propietaria del automóvil para sus propias notificaciones. No incluyó, no obstante, el dato relativo a uno de los apartados del impreso; a saber: número del permiso de conducir.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3 de junio de 2009, la jefa del departamento de instrucción de multas de circulación del Ayuntamiento de Madrid emitió notificación de incoación de expediente sancionador por haberse incumplido el deber de identificar verazmente, dentro del plazo y en la forma legalmente previstos, al conductor responsable de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presentó alegaciones el día 12 de junio de 2009, en las que aducía haber cumplido lo solicitado y denunciaba la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18 de septiembre de 2009 se dictó resolución sancionadora, imponiendo a doña Ana Fernández Martín la multa de 301 €, por entenderse producido el incumplimiento del referido deber, toda vez que en el expediente “no consta que se haya cumplido con el deber de identificar en tiempo y forma al conductor responsable de la infracción, a tenor de lo dispuesto en el art. 72.3 LSV, a pesar de haber sido requerido para ello en el momento procedimental oportuno, puesto que los datos aportados en su momento sobre la identidad del conductor son insuficientes para que la identificación se considere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interpuso recurso contencioso-administrativo contra la indicada resolución sancionadora, sustanciado en el procedimiento abreviado núm. 975-2009 ante el Juzgado de lo Contencioso-Administrativo núm. 2 de Madrid, que dictó Sentencia desestimatoria, de 10 de enero de 2013. Razona el juzgador que en el caso concreto “la parte requerida no dio estricto cumplimiento a las exigencias que se establecen en el precepto citado [art. 72 LSV] por cuanto que los datos facilitados no pueden entenderse suficientes para determinar una identificación veraz en tanto que no facilitó el número de permiso de conducir que le fue requerido y que no se considera desproporcionado por cuanto que, de una parte, la persona identificada por su filiación, José Luis Fernández García, dada la generalidad de estos nombre y apellidos era necesario conocer el número del permiso para una perfecta identificación. Pero es que, además, existe otro dato importante y es que la persona identificada tiene el mismo domicilio de la recurrente, lo que evidencia la inexistencia de dificultad o traba para obtener dicho dato. Finalmente señalar que no se trata de una conducta única la que estamos conociendo en este asunto, pues este mismo Juzgado conoce de otro procedimiento, el PA 409-2009 y la defensa del Ayuntamiento aporta sentencia dictada por el Juzgado núm. 1 en PA 861-2009, en la que se sancionan conductas idénticas a la que ahora es objeto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resolución sancionadora y la Sentencia que la confirma, citadas en el encabezamiento, doña Ana Fernández Martín interpone recurso de amparo, que fundamenta en la vulneración de los derechos a la legalidad sancionadora (art. 25.1 CE) y a la presunción de inocencia (art. 24.2 CE), así como al principio de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respecto del primero de los derechos invocados, que cumplió con la obligación de identificar al conductor de forma suficiente y precisa para que el Ayuntamiento de Madrid pudiera dirigir el procedimiento sancionador contra el infractor por el hecho denunciado, sin que la Administración realizara el más mínimo intento en esa dirección ni exigiera otros datos para proceder a la notificación. En segundo lugar, razona la recurrente que sancionar al titular del vehículo por el mero hecho de serlo, sin efectuar ninguna averiguación destinada a conocer la identidad del verdadero infractor, supone una vulneración del art. 24.2 CE, pues la presunción de inocencia sólo quedaría enervada si se observase una conducta evasiva y reticente del propietario del vehículo o si aportase de un modo vago y genérico datos sobre posibles infractores, lo que no es el caso. Finalmente, considera lesionado el art. 14 CE, en su vertiente de derecho a la igualdad en la aplicación de la ley, dado que las resoluciones impugnadas se pronuncian en sentido distinto a numerosas Sentencias del Tribunal Constitucional, en concreto a la STC 111/2004, de 12 de julio, cuya doctrina se puso de manifiesto en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julio de 2014, la Sección Cuarta de este Tribunal acordó admitir a trámite el recurso de amparo y, en consecuencia, solicitó al Ayuntamiento de Madrid y al Juzgado de lo Contencioso-Administrativo núm. 2 de Madrid las correspondientes actuaciones, ordenando asimismo los pertinentes emplazamientos para que en el plazo de diez días pudieran comparecer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General de este Tribunal Constitucional el 3 de octubre de 2014, la Letrada del Ayuntamiento de Madrid, actuando en nombre y representación del mismo, se personó en el recurso. Por diligencia de ordenación de la Secretaria de Justicia de la Sala Segunda, de 13 de octubre de 2014, se tuvo por personada a dicha Letrada y se procedió a dar vista de las actuaciones a las partes personadas y al Ministerio Fiscal, para que pudieran presentar las alegaciones que estimaran pertinentes, de conformidad con lo dispuesto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Evacuó el trámite, mediante escrito registrado el 17 de noviembre de 2014, la Letrada del Ayuntamiento de Madrid. Razona que se ha cometido la infracción contemplada en el art. 72.3 de la Ley sobre tráfico, circulación de vehículos a motor y seguridad vial, pues no se identificó verazmente al conductor a falta de aportación del dato sobre el permiso de conducir, prueba que no era desproporcionada para la recurrente. Por otra parte, en relación con el derecho fundamental a la presunción de inocencia, subraya que a la demandante de amparo no se le está imponiendo una sanción por ser titular del vehículo, sino por serlo y no identificar verazmente al conductor, como exige la normativa reseñada. Por último, rechaza la vulneración del derecho de igualdad en la aplicación de la ley, ya que no concurren los requisitos que exige la doctrina constitucional para declarar tal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noviembre de 2014 tuvo entrada en este Tribunal Constitucional el escrito de alegaciones del Ministerio Fiscal. Mantiene, en primer lugar, que el recurso carece de especial trascendencia constitucional, a cuyo fin invoca dos elementos principales: la decisión de inadmisión adoptada por este Tribunal en otro recurso de amparo interpuesto por la misma demandante, fundado en hechos que estima coincidentes, y la no apreciación de ninguno de los supuestos mencionados en el fundamento jurídico 2 de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en cuanto al fondo, cree que no se ha producido en esta ocasión vulneración del principio de legalidad del art. 25 CE. A tal fin cita la STC 63/2007, de 27 de marzo, y destaca que nos encontramos ante una conducta reiterada de la demandante, que se ha negado repetidamente —en distintos expedientes sancionadores— a facilitar los datos requeridos respecto del mismo conductor que conduce supuestamente su vehículo y origina múltiples sanciones por infracciones de tráfico. A la vista de las muy especiales circunstancias del presente caso, entonces, inferir que la recurrente presenta resistencia o reticencia a identificar veraz y “completamente” al supuesto conductor, como hicieron las resoluciones recurridas, no resulta inaceptable ni desproporcionado. Máxime, cuando se concluye de las actuaciones que no había traba o dificultad alguna para obtener el dato omitido, expresando las circunstancias concretas del supuesto de hecho; es decir, que no se está cumpliendo con el deber legal de una manera consciente e intencionadamente esquiva, resistente o reticente, para dificultar y frustrar el ejercicio de la potestad sancionadora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la lesión del derecho a la presunción de inocencia, a cuyo objeto señala, con cita de jurisprudencia constitucional, que la titularidad del vehículo con el que se cometió la infracción y el cumplimiento incompleto, impreciso o esquivo del deber de identificación controvertido, son elementos de cargo suficientes, entre otros, para destruir conjunta y válidamente la presunción de inocencia que garantiza el art. 24.2 CE. Finalmente, en relación con el derecho a la igualdad en aplicación de la ley, resalta la ausencia de un tertium comparationis, factor suficiente para que decaiga tal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de la Sala que dicte Sentencia en la que se desestime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en amparo no formuló alegaciones, según se hace constar en diligencia de 24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2015,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se dirige contra la resolución sancionadora de 18 de septiembre de 2009, del Director General de movilidad del Ayuntamiento de Madrid, y contra la Sentencia del Juzgado de lo Contencioso-Administrativo núm. 2 de Madrid, de 10 de enero de 2013, dictada en el procedimiento abreviado núm. 975-2009. La demandante de amparo invoca la lesión de los derechos a la legalidad sancionadora (art. 25.1 CE) y a la presunción de inocencia (art. 24.2 CE) así como del derecho de igualdad en la aplicación de la ley (art. 14 CE). La representación letrada del Ayuntamiento descarta que se hayan producido todas y cada una de las vulneraciones denunciadas, mientras que el Ministerio Fiscal postula que el recurso carece de especial trascendencia constitucional, incumpliendo el requisito del art. 50. 1 b) de la Ley Orgánica del Tribunal Constitucional (LOTC), lo que debería desembocar en su inadmisión por Sentencia, defendiendo, en su defecto, la desestimación del amparo interesado, por no darse tampoco las lesiones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acogerse la objeción a la admisión del recurso que formula el Ministerio Fiscal. En efecto, se constata en las resoluciones impugnadas, como seguidamente se expondrá con mayor detalle, que la decisión del litigio debía estar inspirada por la doctrina constitucional contenida en la STC 111/2004, de 12 de julio, citada y alegada expresamente en el proceso judicial y reiterada con posterioridad a la interposición de este recurso de amparo en las SSTC 30/2013, de 11 de febrero, y 45/2013, de 25 de febrero. El asunto, en consecuencia, da ocasión al Tribunal Constitucional de garantizar el cumplimiento de su jurisprudencia en la materia, que en este conjunto de resoluciones queda aclarada en sus exactos términos y extremos [STC 155/2009, de 25 de junio, FJ 2 b)], evitando dudas ulteriores sobre su alcance que puedan dar lugar a nuevas inaplicaciones objetivas de la misma, y atendiendo con ello a uno de los criterios legales que dotan de especial trascendencia constitucional del recurso de amparo, citado en el art. 50.1 b) LOTC, a saber: aquél que se dirige a velar por la aplicación y general eficacia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Bastará añadir, por lo demás, que es a este Tribunal a quien corresponde apreciar si el contenido del recurso justifica una decisión sobre el fondo en razón de su especial trascendencia constitucional, que “encuentra su momento procesal idóneo en el trámite de admisión contemplado en el art. 50.1 LOTC” (STC192/2012, de 29 de octubre, FJ 2), y que así lo hizo esta Sala, que no encuentra razones para alterar la decisión entonces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caso presenta una total identidad con el recurso de amparo núm. 827-2011, resuelto por este Tribunal en la STC 30/2013, de 11 de febrero, y con el recurso de amparo núm. 6818-2011, que dio lugar a la STC 45/2013, de 25 de febrero, pues en ambos casos las circunstancias son idénticas a las del actual: a) la misma demandante de amparo fue sancionada por la infracción consistente en el incumplimiento del deber que el art. 72.3 de la Ley sobre tráfico, circulación de vehículos a motor y seguridad vial, impone al titular de un vehículo a motor de suministrar la identidad del conductor del mismo ante la denuncia de una infracción; b) ante el requerimiento de la Administración para que identificara al conductor responsable de la infracción, la titular del vehículo comunicó el nombre, apellidos y domicilio del supuesto responsable, siendo considerados insuficientes estos datos por la Administración que, en ambos casos, sancionó a la ahora recurrente por incumplimiento del deber de identificación del conductor responsable de la infracción, al considerar indispensable la comunicación del número del documento nacional de identidad (DNI) o del permiso de conducir del responsable para cumplimentar la identificación requerida; c) no existe en el expediente administrativo constancia de actuación administrativa alguna tendente a comunicar, con la persona identificada por la demandante, que se hubiera frustrado por el desconocimiento del número del DNI o del permiso de conducir; d) la escueta motivación del acto administrativo no responde a una argumentación lógica que permitiera subsumir la conducta de la recurrente en el tipo aplicado, y e) la redacción de la norma vigente el momento de cometerse los hechos no exigía expresamente que se facilitaran esos concretos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otorgar el amparo estimando la vulneración del derecho a la legalidad sancionadora, con remisión a lo establecido en el fundamento jurídico 3 de la STC 30/2013 y al fundamento jurídico, 2 de la STC 45/2013, que, a su vez, reiteran lo establecido en la STC 111/2004, de 12 de julio, recordando que “no sólo vulneran el principio de legalidad las resoluciones sancionadoras que se sustenten en una subsunción de los hechos ajena al significado posible de los términos de la norma aplicada, sino que también son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Constatada la lesión del derecho fundamental, no procede el análisis de las demás quejas aducidas en la demanda, puesto que la apreciación de la vulneración del art. 25 CE conlleva la declaración de nulidad de la resolución sancionadora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Fernández Martín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sancionadora de 18 de septiembre de 2009, dictada por el Director General de Movilidad del Ayuntamiento de Madrid en el expediente núm. 26936875.9, así como de la Sentencia del Juzgado de lo Contencioso- Administrativo núm. 2 de Madrid, de fecha 10 de enero de 2013, en el procedimiento abreviado núm. 975-2009.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