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1250-2014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1250-2014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resolución de la Subdelegación del Gobierno en Málaga de 26 de febrero de 2013, que impone a la parte recurrente la sanción de expulsión del territorio nacional, así como de los Autos recurridos de fecha 19 de septiembre de 2013 dictado por el Juzgado de lo Contencioso-Administrativo núm. 3 de Málaga y de 13 de enero de 2014 dictado por la Sala de lo Contencioso-Administrativo del Tribunal Superior de Justicia de Andalucía, con sede en Málaga.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24 de junio de 2014, don Oumar Fall, representado por el Procurador de los Tribunales don Enrique Auberson Quintana-Lacci y asistido por el Letrado don Óscar Encinas Fernández, interpuso recurso de amparo contra el Auto de 13 de enero de 2014 dictado por la Sala de lo Contencioso-Administrativo del Tribunal Superior de Justicia de Andalucía, con sede en Málaga, en recurso de queja 7-2013, que desestimaba el recurso de queja interpuesto contra el Auto de fecha 19 de septiembre de 2013 dictado por el Juzgado de lo Contencioso-Administrativo núm. 3 de Málaga en procedimiento abreviado núm. 107-2013. La demanda de amparo solicita que se dicte Sentencia declarando que se ha vulnerado el derecho del recurrente a la tutela judicial efectiva y que se anulen las resoluciones judiciales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otrosí en el escrito de demanda, y de conformidad a lo dispuesto en el art. 56 de la Ley Orgánica del Tribunal Constitucional (LOTC), el recurrente solicitó la suspensión de la resolución impugnada. Alegaba que debe suspenderse la ejecución inmediata de la expulsión administrativa y todo ello a fin de no hacer plenamente ineficaz la resolución que en este recurso pueda dictarse, caso de otorgarse 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la Sala Segunda de este Tribunal acordó la admisión a trámite de la demanda de amparo,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 escrito de alegaciones, presentado el 24 de abril de 2015, la parte recurrente reproduce lo aducido en la demanda y añade que con la posible suspensión cautelar de la ejecución de la expulsión, no se produce ningún perjuicio a la Administración dado que, de ser desestimado finalmente el amparo, aquella podrá proceder a la expulsión del recurrente por estar preso en un centro penitenciario.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presentó escrito de alegaciones en fecha 30 de abril de 2015 en el que interesa la suspensión de la resolución recurrida en la demanda de amparo, alegando en síntesis: i) en los casos de expulsión de extranjeros, como expresaron los AATC 82/1999, de 12 de abril, 356/2008, de 10 de noviembre, y 156/2010, de 15 de noviembre, la efectividad de las resoluciones como las ahora impugnadas, por las que se declara procedente la expulsión del actor, con la consiguiente salida del territorio nacional, podría convertir en ilusoria una eventual concesión del amparo; y ii) no parece que una suspensión de la resolución judicial recurrida pueda originar una perturbación grave de los intereses generales ni de los derechos fundamentales o libertades públicas de un tercero.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facultad de este Tribunal Constitucional de adoptar medidas cautelares en los procesos de amparo, reconocida en el art. 56 de la Ley Orgánica del Tribunal Constitucional,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 doctrina que se reitera en los AATC 27/2015, de 16 de febrero, FJ 2, y 50/2015, de 2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lo cual significa que se ha de apreciar la pérdida de la finalidad del recurso de amparo para que aquélla deba adoptarse necesariamente.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(por todos, AATC 90/2014, de 27 de marzo, FJ 1, y 59/2015, de 16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expulsión de extranjeros del territorio nacional, este Tribunal ha señalado con carácter general que la ejecución de las resoluciones que la acuerdan “podría convertir en ilusoria una eventual concesión del amparo, porque, por un lado, lo que se trataría de impedir con el recurso ya habría tenido lugar y, por otro, pese a que una eventual concesión del amparo pudiera tener como consecuencia la posibilidad de que el recurrente regresase a nuestro país, los perjuicios de carácter personal, económico y familiar serían de imposible resarcimiento” ( AATC 66/2012, de 16 de abril, FJ 2, y 116/2013, de 20 de mayo,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en aplicación de lo expuesto, y conforme también solicita el Ministerio Fiscal, resulta procedente acordar la suspensión de la expulsión del territorio nacional del recurrente, atendiendo al conjunto de circunstancias concurrentes, toda vez que tampoco cabe apreciar que dicha suspensión pueda originar una perturbación grave de los intereses generales ni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expuestos, y sin que ello suponga prejuzgar la cuestión de fondo planteada, conducen a conceder la suspensión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resolución de la Subdelegación del Gobierno en Málaga de 26 de febrero de 2013, que impone a la parte recurrente la sanción de expulsión del territorio nacional, así como de los Autos recurridos de fecha 19 de septiembre de 2013 dictado por el Juzgado de lo Contencioso-Administrativo núm. 3 de Málaga y de 13 de enero de 2014 dictado por la Sala de lo Contencioso-Administrativo del Tribunal Superior de Justicia de Andalucía, con sede en Málaga.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