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11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292-2015, promovido por el Consejo de Gobierno de la Junta de Andalucía y, en su representación y defensa por el Letrado de dicha Junta, en relación con los artículos 4, 5, 6 y 7 y el anexo I de la Ley 18/2014, de 15 de octubre, de aprobación de medidas urgentes para el crecimiento, la competitividad y la eficiencia.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enero de 2015, el Letrado de la Junta de Andalucía, en la representación que legalmente ostenta, promueve recurso de inconstitucionalidad contra los artículos 4, 5, 6 y 7 y el anexo I de la Ley 18/2014, de 15 de octubre,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la demanda pone de manifiesto que la disposición recurrida es fruto de la tramitación como ley del Real Decreto-ley 8/2014, de aprobación de medidas urgentes para el crecimiento, la competitividad y la eficiencia, por lo que, excepto alguna modificación de tipo técnico, la presente ley reproduce el contenido de los artículos 4, 5, 6 y 7 y el anexo I, del Real Decreto-ley 8/2014. En relación con este último, el Consejo de Gobierno de la Junta de Andalucía adoptó en su momento el acuerdo de recurrir los mismos preceptos, con fundamento en la vulneración del artículo 86.1 CE por utilización abusiva de la figura del decreto-ley, así como por vulneración del artículo 149.1.13 y 18 CE. Afirma a este respecto el Letrado autonómico que la pendencia del recurso interpuesto contra el Real Decreto-ley 8/2014 no impide la formulación del presente recurso de inconstitucionalidad contra la Ley 18/2014, pues la doctrina constitucional ha puesto de manifiesto que el análisis de constitucionalidad de la ley aprobada por las Cortes, por la que se convalida un decreto-ley ex artículo 86.3 CE, ha de hacerse mediante la interposición de un nuevo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recurso, considera el escrito de demanda que la regulación que efectúan los preceptos impugnados desborda el concepto de normativa básica e invade las competencias que en materia de desarrollo normativo y ejecución corresponden a la Comunidad Autónoma en materia de comercio, con infracción de lo dispuesto en los artículos 149.1.13 y 149.1.18 CE, y del artículo 58.1.1 del Estatuto de Autonomía para Andalucía. Los motivos de impugnación,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4, 5 y 7 y el anexo I, regulan la declaración de zona de gran afluencia turística, flexibilizando los requisitos para su declaración y las consecuencias de la no declaración por parte de la Comunidad Autónoma en determinados plazos, y estableciendo en el anexo I dos ciudades que directamente reúnen los requisitos para ser declaradas como tales (Jerez y Marbella); los preceptos se reputan inconstitucionales por vulnerar las competencias autonómicas en materia de comercio interior y exceder del título competencial previsto en 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Letrado, con una extensa apelación a lo señalado por la doctrina constitucional en esta materia, que, aun cuando las competencias autonómicas en materia de comercio interior resultan limitadas por las competencias constitucionalmente reconocidas al Estado que inciden sobre la actividad comercial, tanto en lo relativo a los calendarios y horarios comerciales, como en materia de modalidades de venta y formas de prestación de la actividad comercial, al tratarse de una competencia transversal que puede afectar a una multiplicidad de materias, el título genérico del artículo 149.1.13 CE no puede ser utilizado por el Estado en un sentido expansivo que impida esa diversidad; y ello porque, en términos de la jurisprudencia constitucional, el presupuesto de un único orden económico y de un mercado nacional, no excluye la existencia de la diversidad jurídica que resulta del ejercicio por los órganos autonómicos de competencias normativas sobre un sector económico, cuando éstas han sido asumidas en su Estatuto de Autonomía, resultando legítima la diversidad de regímenes en la medida en que las diferencias y peculiaridades introducidas resulten adecuadas a su finalidad y se respete la igualdad básica de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proyección del título competencial estatal sobre la materia en cuestión, la jurisprudencia constitucional ha declarado que la fijación de un régimen de libertad de horarios comerciales para determinados establecimientos y zonas, es una opción que, por su carácter de excepción al régimen general en materia de horarios comerciales, precisa de una decisión unitaria y homogénea para el conjunto del Estado, aunque cuando la misma se haya formulado con carácter abierto, de forma que su plasmación concreta precisa de las decisiones que al efecto adopte la Comunidad Autónoma, en cuanto titular de las competencias sobre comercio interior. El propio Tribunal ha declarado, en relación a la Ley 1/2004, de horarios comerciales, que las normas básicas no pueden ser tan minuciosas o exhaustivas que no dejen espacio alguno a las competencias autonómicas en esta materia, y permitan que cada Comunidad Autónoma pueda establecer sistemas singularizados en materia de horario de apertura de los establecimientos comerciales. Considera el Letrado que, en el caso que nos ocupa, tales limitaciones a la competencia estatal se transgreden, y ello porque, tras la conformación de un plazo para que las Comunidades Autónomas resuelvan y notifiquen, prevé que, transcurrido el mismo, no se entenderá realizada la declaración de zona de gran afluencia turística, sino que además ésta se extenderá a todo el municipio, con lo que es el Estado el que directamente actuaría, en contra de las reseñada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motivos de impugnación del artículo 6, señala el letrado que, además de los esgrimidos en relación al resto del articulado, no existe justificación constitucional suficiente para la emanación de esta norma básica, pues las bases se encuentran ya en la Directiva 2006/123/CE, de 12 de diciembre de 2006, del Parlamento Europeo y del Consejo, relativa a los servicios en el mercado interior. Por lo tanto, lo que se realiza es una alteración en la relación jurídica entre una Directiva europea (la Directiva de Servicios) y la entidad político-administrativa competente en materia de comercio interior, para transponer la Directiva, que es la Junta de Andalucía. Así lo hizo a través de la Ley 3/2010, de 21 de mayo, por la que se modificaban diversas leyes para la transposición en Andalucía de la mencionada Directiva. Añade el letrado que competencias transversales como las del artículo 149.1.13 y artículo 149.1.18 CE no deben utilizarse de forma adjetiva cuando ya las bases han sido establecidas por una Directiva del Parlamento Europeo y del Consejo, pues de esta manera lo que se consigue es distorsionar el mecanismo competencial de transposición de directivas europeas, que no se atribuye monopolísticamente al Estado sino a la entidad político-administrativa con competencias sustantivas y directas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febrero de 2015, el Pleno, a propuesta de la Sección Tercera, acordó admitir a trámite el presente recurso de inconstitucionalidad;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15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24 de febrero de 2015, el Abogado del Estado, en la representación que legalmente ostenta, se personó en el referido recurso y solicitó una prórroga por el máximo legal del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25 de febrero siguiente, el Pleno acordó tener por personado al Abogado del Estado, en la representación que legalmente ostenta y prorrogar en ocho días el plazo concedido,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Mesa del Congreso de los Diputados, por escrito de su Presidente de 25 de febrero de 2015, acuerda dar por personada a la Cámara en este procedimiento y por ofrecida su colaboración a los efectos del artículo 88.1 LOTC. En idéntico sentido se pronuncia la Mesa del Senado, en escrito de su Presidente, registrado en fecha 4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24 de marzo de 2015 tiene entrada en el registro general de este Tribunal el escrito de alegaciones que formula el Abogado del Estado, en la representación que legalmente ostenta, en el que solicita la desestimación íntegra del recurso de inconstitucionalidad formulado, por los motivos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legislación estatal reguladora de los horarios comerciales, y en general la normativa referente a aspectos propios del comercio minorista, cuando no traspasa los contornos de lo que puede entenderse como básico, es una materia que se integra, desde una perspectiva jurídico-constitucional, en el título competencial atribuido al Estado en el artículo 149.1.13 CE, y así lo ha entendido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de horarios comerciales puede encuadrarse conceptualmente como un subsector específico de la materia de comercio interior. Cierto es que a priori la regulación de este ámbito se halla atribuida en los Estatutos de Autonomía, y generalmente de manera exclusiva, a la competencia autonómica; y así ocurre, en el caso de Andalucía, en el artículo 58.1.1 de su Estatuto. Pero esta atribución competencial exclusiva no impide, como el propio precepto estatutario explicita, la confluencia o intersección del título del Estado sobre la ordenación general de la economía, que puede afectar a un subsector determinado y concreto (como el de la libertad de horarios comerciales en las denominadas zonas de gran afluencia turística) dentro del más amplio que es el de comercio interior, y así lo ha sostenido con carácter general la jurisprudencia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representante estatal que resulta ajustado a la Constitución que el Estado, utilizando de manera legítima su título competencial para la ordenación económica general, incida, por razones constitucionalmente justificadas, sobre aspectos puntuales de la actividad comercial, como por ejemplo, el de la liberalización de determinados ámbitos del sector comercio interior; en concreto, la liberalización de los horarios comerciales, que en el presente supuesto se produce en función de la declaración de zonas de gran afluencia turística, de acuerdo con la Ley 1/2004, de 21 de diciembre, de horarios comerciales, en su redacción dada por la Ley 18/2014. Esta posibilidad de incidencia transversal específica constituye doctrina consolidada, en particular en relación con la regulación de los horarios comerciales y de determinados aspectos de la realidad económico-social del comercio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Abogado del Estado que los artículos 4 a 7 y el anexo I de la Ley 18/2014, contienen una regulación que amplía el alcance liberalizador de los horarios comerciales, que se establecía hasta el momento en el Real Decreto-ley 20/2012, legislación esta última de carácter básico, tal y como lo ha declarado la jurisprudencia constitucional. Con la extensión de dicho régimen básico, la normativa estatal viene a profundizar el marco general liberalizador de la economía del país, en este concreto subsector.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declarado, asimismo, que es al ente territorial titular de la competencia básica, a quien corresponde delimitar, dentro de la Constitución, la extensión que en cada circunstancia debe tener lo básico, en función de las exigencias del interés general. El legislador estatal, al extender el ámbito material de lo básico, debe respetar los límites máximos a los que pueden alcanzar las bases en una materia, pero, respetando ese límite, el Estado puede optar, en función de las circunstancias, por reconocer mayor o menor margen de desarrollo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título competencial del artículo 149.1.13 CE, ha declarado el Tribunal que el ejercicio por el Estado de la mencionada competencia es compatible con la existencia de competencias exclusivas de las Comunidades Autónomas sobre determinados subsectores económicos, competencias que quedarán, no obstante, condicionadas por las medidas estatales dirigidas efectivamente a un objetivo de planificación económica y que, por tanto, deberán acomodarse a las directrices generales establecidas por el Estado con esa finalidad. Precisamente por su carácter liberalizador, el efecto de las normas estatales no puede ser enervado por un eventual desarrollo autonómico de la normativa estatal, aun cuando ello no pueda implicar un vaciamiento de las competencias autonómicas. Tratándose de normativa básica, en el doble sentido, material y formal, ésta debe ser asumida por las Comunidades Autónomas como marco de actuación en su actividad reguladora y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el Abogado del Estado, en relación al contenido de los preceptos impugnados, en que se trata de adaptaciones legislativas, que únicamente amplían el ámbito de la liberalización ya efectuada conforme a normas estatales ya enjuiciadas en anteriores Sentencias de este Tribunal (SSTC 88/2010, de 15 de noviembre, y 26/2012, de 1 de marzo), por lo que su sola reforma no supone una circunstancia que altere los criterios jurisprudenciales expuestos en esas sentencias. Además, no se suprime el margen de decisión de las Administraciones territoriales que intervienen en la declaración de zonas de gran afluencia turística, en su régimen y en el otorgamiento de las autorizaciones que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con lo dispuesto en el artículo 6, afirma el Abogado del Estado que la competencia estatal reguladora de las limitaciones y régimen jurídico de las autorizaciones que pueden otorgar las Administraciones Públicas para la apertura, traslado y ampliación de establecimientos comerciales, encuentra amparo en lo dispuesto en el artículo 149.1.13 CE, y constituye transposición de una normativa europea, ya en su primera fase transpuesta por la Ley 17/2009, de 23 de noviembre, que impone tal grado de liberalización del subsector correspondiente de los establecimientos comerciales, en relación con el régimen de intervención de las Administraciones públicas. Afirma la Abogacía del Estado que, en ausencia de margen regulatorio de maniobra, no es contradictorio con el régimen de reparto competencial entre el Estado y las Comunidades Autónomas en un concreto punto o aspecto afectado por dicha regulación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28 de abril de 2017, la Magistrada Doña María Luisa Balaguer Callejón comunicó su voluntad de abstenerse en el conocimiento del presente recurso de inconstitucionalidad, por entenderse incluida en el epígrafe 13 del artículo 219 de la Ley Orgánica del Poder Judicial (LOPJ) (haber ocupado cargo público, con ocasión del cual haya participado directa o indirectamente en el asunto objeto de la causa). Por Auto de 9 de mayo de 2017, el Pleno de este Tribunal acordó estimar justificada la abstención formulada, apartándola definitivamente del conocimiento del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mayo de 2017,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formulado por el Consejo de Gobierno de la Comunidad Autónoma de Andalucía en relación con los artículos 4, 5, 6 y 7 y el anexo I, de la Ley 18/2014, de 15 de octubre,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más ampliamente ha quedado expuesto en los antecedentes, la Comunidad Autónoma fundamenta la inconstitucionalidad de los preceptos controvertidos, en que su regulación excede de la competencia estatal básica que, en materia de ordenación general de la economía, atribuye al Estado el artículo 149.1.13 CE, con la consiguiente vulneración de las competencias autonómicas en materia de comercio interior, contempladas en el artículo 58.1.1 de su Estatuto de Autonomía. El Abogado del Estado, por las razones que han quedado también expuestas en los antecedentes, interesa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18/2014, de 15 de octubre, de aprobación de medidas urgentes para el crecimiento, la competitividad y la eficiencia trae causa de la tramitación como proyecto de ley del Real Decreto-ley 8/2014, de 4 de julio, de idéntico enunciado. Como expresamente reconoce el texto de la demanda, y como ya tuvimos ocasión de advertir en las SSTC 195/2016, de 16 de noviembre, FJ 2, y 214/2016, de 15 de diciembre, FJ 2, existe una sustancial coincidencia entre el texto de la Ley 18/2014 y el texto del Real Decreto-ley 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46/2017, de 27 de abril, y con ocasión del recurso de inconstitucionalidad también formulado por el Consejo de Gobierno de la Junta de Andalucía contra el Real Decreto-ley 8/2014, este Tribunal se ha pronunciado ya sobre la constitucionalidad de los artículos 4, 5, 6 y 7 y el anexo I del Real Decreto-ley 8/2014, homólogos de los contenidos en la Ley 18/2014, aquí recurrida. Este pronunciamiento, como expresamente vino a reconocer en su momento la Junta de Andalucía, tiene una relevancia directa en el presente supuesto, dado que la impugnación ahora formulada se refiere a los mismos preceptos y se sustenta en idénticos motivos, por lo que la doctrina contenida en dicha Sentencia resulta plenamente trasladable y permite responder a la totalidad de las impugnaciones ahora formuladas por el Consejo de Gobierno de la Junta de Andalucía, en los términos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impugnación dirigida contra los artículos 4 y 7, fue resuelta en la STC 46/2017, (FJ 2), por remisión a lo señalado en la STC 195/2016, que en sus fundamentos jurídicos 4 a 6, afirmó que estos preceptos han sido dictados en el legítimo ejercicio de la competencia básica que el Estado corresponde al amparo del artículo 149.1.13 CE, y, en consecuencia no vulneran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impugnación dirigida contra el artículo 5 y el anexo I, la STC 46/2017 (FJ 3), vino a recordar que ya la STC 214/2016 [FJ 3 b)], desestimó la impugnación formulada por el Gobierno Vasco contra estos mismos preceptos de la Ley 18/2014, de 15 de octubre, por lo que, procedía, por idénticos motivos, declarar que los mismos no vulneran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relación con el artículo 6 del Real Decreto-ley 8/2014, homólogo del precepto equivalente de la Ley 18/2014, la citada STC 46/2017, en su fundamento jurídico 4 rechazó la inconstitucionalidad del precepto, afirmando su carácter formal y materialmente básico, al amparo de la competencia atribuida al Estado en el artículo 149.1.13 CE, y descartando también el argumento contenido en la demanda, conforme al cual no existe una justificación suficiente para apelar a las normas básicas estatales, que, a su juicio, ya se encuentran en la Directiva 2006/123/CE, de 12 de diciembre, relativa a los servicios del mercado interior. Como afirmamos entonces, “la intervención del derecho comunitario europeo no altera el reparto constitucional interno de competencias en una materia y no nos corresponde verificar la corrección de la afirmación de que la normativa europea absorbe la regulación básica de un concreto ámbito material, dado que nuestro enjuiciamiento debe circunscribirse a determinar si las concretas normas impugnadas pueden considerarse o no dictadas en el legítimo ejercicio de la competencia que la Constitución atribuye al Estado (en sentido similar, STC 34/2013,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coincidencia objetiva, y de acuerdo con la doctrina constitucional (por todas, STC 172/1998, de 23 de julio, FJ 2), procede desestimar la impugnación dirigida contra los artículos 4, 5, 6, 7 y el anexo I de la Ley 18/2014, siendo suficiente para ello la remisión a los fundamentos jurídicos de la Sentencia anteriormente citada, que cabe dar por reproducidos, lo que nos exime de incluirlos, siquiera sea en extracto (STC 100/2016, de 25 de mayo,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el recurso de inconstitucionalidad núm. 292-2015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con su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discrepancia es mantener la coherencia con los Votos particulares que formulé a las SSTC 199/2015, de 24 de septiembre; 195/2016, de 16 de noviembre; y 46/2017, de 27 de abril, en que ya defendí que debía haber sido declaro inconstitucional y nulo el Real Decreto-ley 8/2014, de 4 de julio, en su conjunto, por vulneración del art. 86.1 CE al no concurrir la situación de extraordinaria y urgente necesidad exigible para este tipo de normas.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mayo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