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5319-2018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345-2017 seguido en el Juzgado de Primera Instancia núm. 32 de Madrid.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octubre de 2018, tuvo entrada en el registro general de este Tribunal Constitucional un escrito de la procuradora doña María de los Llanos Ferrando Galdón, en representación de la mercantil Gesnarros Churral, S.L., por el que interpuso recurso de amparo contra la providencia dictada por el Juzgado de Primera Instancia número 32 de Madrid, de fecha 10 de septiembre de 2018, dictada en el procedimiento de ejecución hipotecaria 345-2017, inadmitiendo a trámite la interposición de la nulidad de actuaciones planteado por la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núm. 32 de Madrid se sigue proceso de ejecución hipotecaria núm. 345-2017, a instancia de Kutxabank, S.A., contra la mercantil demandante de amparo Gesnarros Churral,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título objeto de ejecución se corresponde con la escritura pública de préstamo con garantía hipotecaria otorgada por Caja de Ahorros y Monte de Piedad de Córdoba (Cajasur) y la sociedad Gesnarros Churral, S.L., el día 4 de diciembre de 2006, que fue novada con fecha de 30 de noviembre de 2012 y afianzada en ambos casos de manera solidaria por la administradora de la sociedad deudora doña Ana María Alonso Laguna y por doña Isabel López Alonso y doña Ana López Alonso.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anterioridad a su interposición se intentaron las notificaciones del saldo deudor mediante el envío de sendos burofaxes el 15 de septiembre de 2017 tanto a la sociedad prestamista en su sede social de la calle Ponferrada núm. 12 de Madrid, como a dos de las fiadoras en el mismo domicilio y, a la tercera, en la calle Pinos Baja núm. 62 de Madrid, domicilios designados en ambas escrituras públicas. Los burofaxes fueron devueltos al emisor al resultar desconocidos sus destinatarios en los domicilios designados.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 fecha de 14 de noviembre de 2017, el órgano judicial dictó auto despachando ejecución acordando, entre otros pronunciamientos, la notificación a la sociedad deudora y a las fiadoras.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requerimiento de pago y la notificación a la sociedad resultó infructuosa recogiéndose, en la diligencia intentada el 15 de diciembre de 2017, las manifestaciones del portero de la finca en las que afirmaba que “hace muchísimos años que se ausentaron de esta dirección”; lo mismo sucedió con los intentos de notificación a las dos fiadoras en sus respectivos domicilios.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Consultado el punto neutro judicial, se confirma que el único domicilio social de la demandada se corresponde con el de la calle Ponferrada núm. 12 de Madrid, lo que motiva la decisión de practicar el requerimiento de pago y notificación por edictos acordado por diligencia de ordenación de 19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decreto de 2 de abril de 2018 se acuerda la convocatoria de la subasta y, firme este, por diligencia de ordenación de 27 de abril se dispone la publicación de los edictos en el portal de subastas de la Agencia Estatal del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Con fecha 25 de junio de 2018 comparece en la Secretaría del órgano judicial el nuevo administrador de la sociedad, aportando copia de la elevación a público del acuerdo de cese y nombramiento de administrador único en escritura de 12 de febrero de 2018 y otorga poder apud acta, de modo que el siguiente 27 de julio de 2018 la sociedad demandada promueve incidente de nulidad de actuaciones que fundamenta en los siguientes motivos: (i) la existencia de indicios de que el domicilio social declarado no se correspondía con el domicilio real y que tal domicilio (el real coincidente con el de la finca objeto de ejecución) era conocido por la entidad ejecutante, pues allí recibió dos comunicaciones para dar cumplimiento a la normativa sobre titularidad real y para informar sobre planes de pensiones; (ii) la indefensión asociada a esta falta de notificación en el domicilio real, lo que avala en la cita e invocación de múltiples resoluciones del Tribunal Constitucional (SSTC 122/2013, de 20 de septiembre; 126/2014, de 21 de julio; 169/2014, de 22 de octubre; 30/2014, de 24 de octubre, o 6/2017, de 16 de enero) y añade, como último motivo, (iii) el carácter de consumidor de la sociedad lo que justifica en el destino de vivienda habitual de sus administradores sucesivos, que fundamenta en la sentencia del Tribunal de Justicia de la Unión Europea de 3 de septiembre de 2015 y en resoluciones diversas de audiencias provinciales, así como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incidente excepcional de nulidad de actuaciones fue inadmitido por providencia de 10 de septiembre de 2018, al entender el órgano judicial que “el presente procedimiento de ejecución hipotecaria ni está concluido ni nada ha impedido a la sociedad deudora formular oposición a la ejecución o recurrir cualquiera de las resoluciones dictadas desde el 19 de noviembre (sic) de 2017 fecha en la que fue válidamente notificada del despacho de ejecución por edictos, notificación por edictos que se realizó como último recurso y agotadas la posibilidades de practicar la diligencia en el domicilio de la sociedad deudora.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se intentó por dos veces la notificación inicial en el domicilio social de Gesnarros Churral, S.L., que lo hizo constar tanto en la escritura pública del préstamo hipotecario de 4 de diciembre de 2006 como en la de novación posterior de 30 de noviembre de 2012. Posteriormente el 19 de diciembre de 2017 se intentó averiguar otros posibles domicilios de la sociedad deudora mediante consulta de las bases de datos asociadas al punto neutro judicial (AEAT, Catastro, DGT y TGSS), sin que aparecieren. Dicha notificación por edictos es válida y acorde con la doctrina expresada por el Tribunal Constitucional en sentencias 135/2014, de 8 de septiembre; 137/2014, de 8 de septiembre; 150/2016, de 19 de septiembre; 200/2016, de 28 de noviembre, y 106/2017, de 18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en la misma resolución se acotan y puntualizan los siguientes extremos: (i) solo las personas físicas pueden tener vivienda familiar, (ii) el hecho de que el administrador de la sociedad deudora y su familia tengan su residencia en la finca hipotecada no permite entender que la finca hipotecada sea un segundo domicilio de la sociedad deudora, (iii) la manifestación sobre que el ejecutante conoce que la sociedad deudora tiene su domicilio en la finca hipotecada tiene apoyo exclusivo en las manifestaciones de la sociedad deudora y contradice lo manifestado por la representante de la sociedad deudora en las escrituras de préstamo hipotecario de 4 de diciembre de 2006 y en la de novación de 30 de noviembre de 2012 y, (iv), la sociedad deudora prima facie no puede invocar la aplicación de normativa de defensa de consumidores y usuarios ni está legitimada para formular oposición por la presencia de cláusulas abusivas en el título de ejecución al amparo de la causa de oposición cuarta del apartado primero del art. 695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recurrente alega que la resolución judicial impugnada causa la vulneración del derecho a la tutela judicial efectiva (art. 24.1 CE) y a un proceso con todas las garantías (art. 24.2 CE), al haberse efectuado su emplazamiento en el procedimiento hipotecario a través de edictos, pese a constar en autos un domicilio alternativo, tal y como resulta de la propia consulta domiciliaria efectuada por el punto neutro judicial. Añade que el juzgado tampoco efectuó otras labores de averiguación alternativas tendentes a conocer el verdadero domicilio de la mercantil actora, ni siquiera comunicando el proceso en el domicilio de la finca hipotecada. Además, advierte que la providencia recurrida incurre en un error importante, pues demuestra que la misma ha sido dictada sin que el juez haya cotejado la consulta domiciliaria incluida en autos, pues no se puede explicar de otro modo el hecho de que no advirtiera a simple vista que en dicha consulta aparece como domicilio perfectamente visible aquel sito en la calle Voluntarios Catalanes, 68, 1º A (además del domicilio en la calle Ponferrada, 12, único en el que se practicaron los intentos de notificación). Finaliza advirtiendo que la vulneración del art. 24 CE tiene como precedente la previa vulneración de las reglas procesales esenciales de notificación al demandado, previstas genéricamente en los art. 155, 156, 158 y 161 LEC, y, particularmente, para los casos de ejecución, en los arts. 553 y 686 LEC. A su juicio, la vulneración denunciada reviste un carácter cualificado, pues, por un lado, la negligencia del juzgado ha sido determinante para que no haya concurrido en el procedimiento de ejecución hipotecaria que se seguía contra ella ni, por tanto, ejercer sus derechos de defensa, y, por otro, se trata de un procedimiento de ejecución hipotecaria en el que el activo en juego es la vivienda habitual en la que residen el administrador de Gesnarros Churral, S.L., que padece una enfermedad grave, y su familia.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la providencia de 10 de septiembre de 2018 que inadmitió a trámite el incidente de nulidad, así como de cuantas actuaciones se hayan realizado en el seno del procedimiento de ejecución hipotecaria 345-2017, seguido ante el Juzgado de Primera Instancia núm. 32 de Madrid, al no haberse respetado las garantías exigibles y ordene reponer las actuaciones al momento previo al requerimiento de pago de mi representado o, en su caso, al traslado del escrito de demanda, para que se despache la ejecución en legal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se solicita (i) la suspensión de todos los efectos y actuaciones derivados del procedimiento de ejecución hipotecaria 345-2017 seguido ante el Juzgado de Primera Instancia núm. 32 de Madrid, y en particular la adjudicación de la vivienda que es objeto del mismo a la parte ejecutante, así como, (ii) la anotación preventiva del presente recurso de amparo en el correspondiente registro de la propiedad, pues entre otros razonamientos, a fecha de presentarse al demanda de amparo se ha cerrado la subasta y se ha solicitado por parte de la ejecutante Kutxabank, S.A., la adjudicación del inmueble, habiéndose procedido a la tasación de costas e intereses. Habida cuenta de lo anterior, y de demorarse la resolución del presente recurso, entiende más que probable que se emita el correspondiente título de adjudicación de la parte actora y se establezcan medidas para el desalojo, lo que generaría un perjuicio difícilmente reversible, máxime si se tiene en consideración que en dicho inmueble residen, el administrador de la mercantil ejecutada y su familia.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Sección Tercera, de este Tribunal Constitucional, dictó providencia el 18 de junio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Tercera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constando ya en el recurso testimonio del procedimiento de ejecución hipotecaria núm. 345-2017 y en aplicación de lo dispuesto en el art. 51 LOTC, diríjase atenta comunicación al Juzgado de Primera Instancia e Instrucción núm. 32 de Madrid a fin de que, en plazo que no exceda de diez días, emplace, para que en el plazo de diez días puedan comparecer, si lo desean, en el recurso de amparo a quienes hubieran sido parte en el procedimiento, excepto la parte recurrente en amparo. 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este Tribunal Constitucional formalizó su escrito de alegaciones en esta pieza el 5 de julio de 2019,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56.1 de la Ley Orgánica del Tribunal Constitucional (LOTC) y reproducir la jurisprudencia constitucional en torno a la excepcionalidad de la suspensión de los procedimientos, recuerda que, a mayores, el demandante de amparo debe probar la existencia de un perjuicio irreparable, para poder acordarse la suspensión de los actos impugnados en amparo, lo que en este caso, no aparece fundamentado por la propia recurrente que se limita a la mera petición sin explicitar ninguna razón salvo la mera pérdida de finalidad del recurso en el caso de que llegara a adjudicarse el inmueble a la entidad ejecutante. Para el Ministerio Fiscal, por el contrario, acordar la suspensión solicitada comportaría la drástica medida que supondría la paralización del procedimiento ejecutivo que por su propia naturaleza goza de las características de celeridad y sumariedad.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fiscal, “para conseguir el efecto protector deseado por la recurrente, se puede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adquirente queda especialmente protegido por su buena fe en la adquisición”. Cita en apoyo de su petición el art. 56.3 LOTC, que permite al Tribunal adoptar toda medida que evite que el recurso de amparo pueda perder su finalidad, así como el ATC 95/2015, de 25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pues aunque nos encontramos en uno de esos supuestos en que tratándose de una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a procedencia o no de la medida cautelar instada por la parte recurrente en amparo y dirigida frente al procedimiento de ejecución hipotecaria núm. 345-2017 seguido en el Juzgado de Primera Instancia núm. 32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la doctrina de este Tribunal en materia de suspensión de procedimientos que llevan aparejado el posible desalojo de la vivienda habitual y de aquellos otros en los que se procede a la transmisión del dominio de los inmuebles a terceros de buena fe en virtud de subasta judicial, afirmando de manera genérica que, en su caso, la eventual adjudicación a terceros puede hacer perder al recurso de amparo su finalidad, sin añadir argumento específico alguno que permita a este tribunal afirmar sin ningún género de duda que la continuación del curso del procedimiento judicial,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345-2017 seguido en el Juzgado de Primera Instancia núm. 32 de Madrid.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