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5913-2018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noviembre de 2018, la Junta de Extremadura, representada por la procuradora de los tribunales doña Aurora Gómez-Villaboa Mandri y bajo la dirección de la letrada doña Ana Cristina Sánchez-Barriga Leiton, interpuso recurso de amparo contra la providencia de la Sección Primera de la Sala de lo Contencioso-Administrativo del Tribunal Superior de Justicia de Extremadura de 11 de octubre de 2018, por la que se inadmite el incidente de nulidad de actuaciones interpuesto contra el auto de 10 de septiembre de 2018, por el que se inadmite el recurso de casación autonómico núm. 2-2018, interpuesto contra la sentencia del Juzgado de lo Contencioso-Administrativo núm. 1 de Mérida de 2 de marzo de 2018, pronunciada en el procedimiento abreviado núm. 157-2017 sobre reconocimiento de complemento salarial a una empleada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que se suspenda la ejecución de la sentencia pronunciada por el Juzgado de lo Contencioso-Administrativo argumentando lo siguiente: “que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20 de mayo de 2019, acordó, en la primera, la admisión a trámite del presente recurso de amparo, apreciando que concurre en el mismo una especial trascendencia constitucional (art. 50.1 LOTC) porque el asunto suscitado transciende el caso concreto al plantear una cuestión jurídica de relevante y general repercusión social o económica [STC 155/2009, FJ 2 g)] y la formación de pieza separada para la sustanciación del incidente de suspensión; y, en la segunda, conceder a la parte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presentó sus alegaciones sobre la suspensión en fecha 30 de mayo de 2019. Tras reiterar algunas de las alegaciones relativas al fondo del asunto, la entidad pública actora justifica la petición de suspensión señalando que, de no acordarse tal medida, “se consolidaría una situación difícilmente reversible y, de este modo, se malograría también la efectividad del amparo solicitado, a efecto de desigualdad de realizar un pago de un complemento, que otros individuos en iguales condiciones no se están beneficiando del mismo. Y de esta forma no se cierre la vía [a] esta administración de conocer un recurso establecido legalmente y por parte del Tribunal Superior de Justicia de Extremadura, se admita recurso de casación planteado y pueda resolver sobre las infracciones mencionadas”. Considera que el perjuicio que “el no otorgamiento de la suspensión ocasionaría a esta administración” sería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10 de junio de 2019, presentó alegaciones interesando denegar la suspensión solicitada, ya que (i) la parte recurrente lo que está solicitando es la suspensión de efectos de la sentencia recurrida en casación y no la decisión judicial de inadmisión del recurso de casación, que es la impugnada en este recurso de amparo, lo que es determinante para su denegación (ATC 266/2005, de 20 de junio, FJ 1); y (ii) en cualquier caso, la parte recurrente no ha cumplido con la carga de justificar los eventuales prejuicios que se le irrogarían y la suspensión solicitada tiene un contenido meramente económico en tanto que se limita a reconocer el derecho a la percepción de un complemento salarial, lo que impide considerar que tenga efectos irreparables.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Como excepción, el artículo 56.2 LOTC posibilita la suspensión del acto o sentencia cuando su ejecución produzca un perjuicio al recurrente que pudiera hacer perder su finalidad al amparo, siempre y cuando la suspensión no ocasione perturbación grave a un interés constitucionalmente protegido, ni a los derechos fundamentales o libertades de otra persona. La suspensión cautelar de las resoluciones impugnadas en amparo se configura como una medida provisional de carácter excepcional y de aplicación restrictiva, que deriva de la necesidad de preservar el interés general, de garantizar la efectividad de las decisiones de los poderes públicos y de asegurar la ejecución de las resoluciones dictadas por jueces y tribunales en el ejercicio de la potestad jurisdiccional que les confiere el artículo 117.3 CE (así, AATC 82/2018, de 17 de julio, FJ 1, y 98/2018, de 18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también ha reiterado que el demandante de amparo tiene la carga de acreditar el perjuicio y debe precisar los concretos detrimentos o daños que pueden derivarse de la ejecución del acto impugnado, así como justificar o argumentar razonadamente su carácter irreparable. Asimismo, es doctrina reiterada que el perjuicio, para ser irreparable, debe ser real y actual y que no es posible alegar un daño futuro o hipotético o un simple temor. Y, en fin, que la pérdida de la finalidad del amparo no puede equipararse a la mayor o menor dificultad, molestia o incomodidad para el recurrente (entre otros, AATC 160/2017, de 21 de noviembre, FJ 2, y 88/2018,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hace a la solicitud de suspensión de la sentencia de instancia, la parte recurrente ha solicitado en su demanda que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en el trámite de audiencia de este incidente de suspensión la recurrente ha presentado alegaciones en las que se ha limitado a señalar que, de no acordarse la suspensión interesada, “se consolidaría una situación difícilmente reversible y, de este modo, se malograría también la efectividad del amparo solicitado, a efecto de desigualdad de realizar un pago de un complemento, que otros 98 individuos en iguales condiciones no se están beneficiando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entidad recurrente residencia, de este modo, el perjuicio que fundamenta su pretensión cautelar en la posibilidad de que la persona que obtuvo un pronunciamiento favorable en la sentencia de 2 de marzo de 2018, dictada por el Juzgado de lo Contencioso-Administrativo núm. 1 de Mérida, consiga, en ejecución de la misma, el cobro del complemento salarial controvertido en el pleito judicial, complemento que, según afirma la actora, no habrían percibido otros empleados públicos. Se residencia, de este modo, el perjuicio en un daño de naturaleza económica, aunque el acento parece situarse, más que en la entidad del perjuicio mismo, en la situación de desigualdad supuestamente consumada entre distintos empleados públicos. Se pone de manifiesto, con ello, que lo que se interesa realmente en el presente incidente cautelar no es tanto la suspensión de las resoluciones impugnadas en amparo –la providencia de inadmisión del incidente de nulidad de actuaciones y el auto inadmitiendo el recurso de casación− sino, más bien, la de los pronunciamientos de la sentencia dictada en instancia, que ha ganado firmeza, a la que no se achaca, en la demanda de amparo, vulneración constitucional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delimitada la petición formulada, hemos de recordar que, en la doctrina de este Tribunal los perjuicios de carácter patrimonial o económico, por más que puedan producir efectos desfavorables a quien demanda amparo, no deben considerarse, en principio,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(entre tantos otros, ATC 9/2018, de 5 de febrero,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una perturbación grave de los intereses generales o de los derechos y libertades fundamentales de un tercero, procedería acordar la suspensión interesada. Por ello, como se recuerda en el ATC 5/2018, FJ 2, se ha acordado la suspensión en supuestos muy concretos, en los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132 52/1989, 222/1992, 183/1996, 5/1997, 52/1997, 287/1997, 99/1998, y 161/1999), así como de demolición de viviendas (ATC 225/1999, de 27 de septiembre)”.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e incluso en supuestos de privación temporal del uso de la vivienda de la que es propietario el recurrente y que constituye su residencia habitual (por ejemplo, ATC 26/2011, de 14 de marzo, FJ 1). En resumen, la no reparación del perjuicio es pacíficamente aceptada en casos de embargo y adjudicación a un tercero de buena fe de ciertos bienes inmuebles o por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asimismo, doctrina constante del Tribunal que la acreditación del perjuicio es carga del recurrente, quien debe precisar los concretos daños que de la ejecución se deriven, así como justificar o argumentar razonadamente que los mismos no sean reparables; que el perjuicio irreparable debe ser real, sin que sea posible alegar uno futuro o hipotético o un simple temor; y que la pérdida de la finalidad del amparo no puede equipararse a la mayor o menor dificultad, molestia o incomodidad para el recurrente (recientemente, ATC 160/2017, de 21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doctrina expuesta y tras examinar las razones esgrimidas por la entidad pública recurrente para fundamentar su petición cautelar, hemos de llegar a la conclusión de que, en el caso que se nos plantea, la carga que pesaba sobre la actora en cuanto a la acreditación de la imposibilidad de reparación del perjuicio invocado no ha sido debidamente satisfecha. La entidad recurrente se ha limitado a aludir genéricamente en sus alegaciones a la desigualdad que, a su juicio, conllevaría el cobro por parte de una empleada pública —la litigante en el pleito del que deriva el presente proceso de amparo— de un determinado complemento salarial, no reconocido con carácter general por la administración demandante de amparo a los empleados que se encuentran a su servicio en un concreto sector de actividad. A falta de mayor concreción, ninguna conexión puede establecerse entre esa supuesta desigualdad en el cobro de un complemento salarial y la cuestión realmente crucial en el presente incidente de suspensión, que es la no posibilidad de reparación del perjuicio invocado. En el supuesto que nos ocupa, tiene naturaleza patrimonial o económica (es en principio, reversible, especialmente para una administración pública en relación con sus propios empleados), es claro que la actora no ha levantado la carga que sobre ella pesaba de acreditar su carácter irreparable. A falta de tal argumentación, el presente proceso de amparo, que se refiere a una cuestión estrictamente procesal, ha de discurrir sin interferir en el derecho que puede asistir a una empleada pública a instar la ejecución de un pronunciamiento económico favorable, legítimamente obtenido de los tribunales de justicia en relación con su empleadora.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y último lugar, respecto de la petición de suspensión del auto de 10 de septiembre de 2018 que negó tener por preparado el recurso de casación de la demandada y aquí recurrente, impidiendo su continuación, no procede acceder a lo solicitado en aplicación de la reiterada doctrina de este Tribunal Constitucional, de la que resulta ser exponente el ATC 156/2012, de 21 de agosto, FJ 1, con cita del anterior ATC 56/2012, de 26 de marzo, FJ 2 y las resoluciones que en este último se citan (entre ellas, el ATC 314/2006, de 25 de septiembre, FJ 2, también a propósito de la inadmisión de un recurso de casación), en cuya virtud: “las resoluciones judiciales de mero contenido negativo, como son la que cierran la posibilidad a continuar con un procedimiento o acceder a un recurso, no son susceptibles de suspensión, puesto que de lo contrario equivaldría a adelantar un eventual fallo estimatorio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además diciendo el mismo ATC 156/2012, FJ 2: “En el presente caso las recurrentes solicitan la suspensión de la decisión judicial por la que se acuerda no tener por preparado un recurso de apelación […]. No procede acceder a la suspensión solicitada, ya que, al margen de tratarse de una decisión de contenido negativo, por lo que la suspensión supondría el adelantamiento de un eventual fallo estimatorio, las recurrentes no han cumplido con la carga que les incumbe de justificar y argumentar razonadamente los concretos perjuicios que se derivarían de la circunstancia de mantener por el momento la imposibilidad de formular recurso de apelación. En cualquier caso, además, tampoco cabe apreciar que la denegación de la suspensión sea susceptible de hacer perder al amparo su finalidad ya que, como destaca el ministerio fiscal, en caso de estimarse el presente recurso el restablecimiento pleno del derecho podría lograrse declarando la nulidad de las resoluciones y la retroacción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esos mismos términos ha de merecer una respuesta negativa la solicitud aquí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