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60-2018,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16 de mayo de 2019, la entidad Penrei Inversiones, S.L., representada por la procuradora de los tribunales doña Blanca Berriatua Horta y bajo la dirección de la letrada doña Nirmala Anju Benavent Rodríguez, interpuso recurso de amparo contra los autos de 17 de septiembre de 2018 y 4 de abril de 2019, dictados por el Juzgado de Primera Instancia e Instrucción núm. 6 de Lorca, en el procedimiento de ejecución hipotecaria núm. 60-2018, por los que, respectivamente, se inadmite por extemporánea la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60-2018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29 de mayo de 2018 se acordó despachar ejecución frente las sociedades demandadas por la cantidad de 155.233 € de principal y 24.040 € como intereses y costas presupuestados. El citado auto y el decreto de la misma fecha que le sigue fueron comunicados a las citadas sociedades a través de la sede judicial electrónica el día 30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Penrei Inversiones, S.L., presentó escrito de oposición a la ejecución despachada con fecha 24 de julio de 2018. Por auto de 17 de septiembre de 2018 se acordó su inadmisión por considerar la pretensión extemporánea, tomando como fecha de notificación el 30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30 de mayo de 2018 sino el 15 de julio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30 de mayo hasta el 15 de julio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4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en el presente caso “consta que la notificación se puso a disposición de las recurrentes en fecha 30 de mayo de 2018, no accediendo al contenido hasta el día 15 de julio de 2018 (fuera de los tres días que establece la normativa procesal), presentando los escritos de oposición a la ejecución en fecha 24 de julio de 2018, claramente fuera del plazo legalmente establecido en el art. 556.1 LEC (dentro de los 10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septiembre de 2019 la Sección Primera de este Tribunal acordó admitir a trámite el recurso de amparo y dirigir comunicación al Juzgado de Primera Instancia e Instrucción núm. 6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4 de octubre de 2019 la parte demandante formuló sus alegaciones, reiterando lo dicho en el otrosí de su demanda y trascribiendo como fundamento de su pretensión lo expresado en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15 de octubre de 2019, se opuso a la pretendida suspensión del procedimiento de ejecución hipotecaria, e interesa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suspensión no aparece muy fundamentada por la propia parte recurrente, resultando más eficaz la anotación preventiva de la demanda en el registro de la propiedad mediante la que se evitaría que un hipotético tercer adquirente del inmueble hipotecado, en virtud de su buena fe registral, quede especialmente protegido.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60-2018,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(ATC 81/2019, de 15 de julio),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88/2018, de 17 de septiembre, y 2/2019, de 9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60-2018,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