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60-2018,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mayo de 2019, la entidad Penrei Inversiones, S.L., representada por la procuradora de los tribunales doña Blanca Berriatua Horta y bajo la dirección de la letrada doña Nirmala Anju Benavent Rodríguez, interpuso recurso de amparo contra los autos de 17 de septiembre de 2018 y 4 de abril de 2019, dictados por el Juzgado de Primera Instancia e Instrucción núm. 6 de Lorca, en el procedimiento de ejecución hipotecaria núm. 60-2018, por los que, respectivamente, se inadmite por extemporánea la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60-2018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29 de mayo de 2018 se acordó despachar ejecución frente las sociedades demandadas por la cantidad de 155.233 € de principal y 24.040 € como intereses y costas presupuestados. El citado auto y el decreto de la misma fecha que le sigue fueron comunicados a las citadas sociedades a través de la sede judicial electrónica el día 30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Penrei Inversiones, S.L., presentó escrito de oposición a la ejecución despachada con fecha 24 de julio de 2018. Por auto de 17 de septiembre de 2018 se acordó su inadmisión por considerar la pretensión extemporánea, tomando como fecha de notificación el 30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30 de mayo de 2018 sino el 15 de julio siguiente, fecha en la que accedió a la web y procedió a su descarga, y que la comunicación remitida a través de la dirección electrónica habilitada no puede entenderse más que un aviso de puesta a disposición o descarga de su contenido durante un plazo determinado (en el caso desde el 30 de mayo hasta el 15 de julio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4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en el presente caso “consta que la notificación se puso a disposición de las recurrentes en fecha 30 de mayo de 2018, no accediendo al contenido hasta el día 15 de julio de 2018 (fuera de los tres días que establece la normativa procesal), presentando los escritos de oposición a la ejecución en fecha 24 de julio de 2018, claramente fuera del plazo legalmente establecido en el art. 556.1 LEC (dentro de los 10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2019 la Sección Primera de este Tribunal acordó admitir a trámite el recurso de amparo y dirigir comunicación al Juzgado de Primera Instancia e Instrucción núm. 6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4 de octubre de 2019 la parte demandante formuló sus alegaciones, reiterando lo dicho en el otrosí de su demanda y trascribiendo como fundamento de su pretensión lo expresado en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15 de octubre de 2019, se opuso a la pretendida suspensión del procedimiento de ejecución hipotecaria, e interesa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suspensión no aparece muy fundamentada por la propia parte recurrente, resultando más eficaz la anotación preventiva de la demanda en el registro de la propiedad mediante la que se evitaría que un hipotético tercer adquirente del inmueble hipotecado, en virtud de su buena fe registral, quede especialmente protegido.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60-2018,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(ATC 81/2019, de 15 de julio),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88/2018, de 17 de septiembre, y 2/2019, de 9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60-2018,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