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1004-2020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1646-2013 seguido en el Juzgado de Primera Instancia núm. 14 de Murcia.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los inmuebles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febrero de 2020, tuvo entrada en el registro general de este Tribunal Constitucional un escrito del procurador don José Ramón Rego Rodríguez, en representación de la entidad Aluminios Torralba, S.A., por el que interpuso recurso de amparo contra el auto de 15 de enero de 2020 del Juzgado de Primera Instancia núm. 14 de Murcia, por el que se desestimó el incidente de nulidad de actuaciones planteado respecto de la ejecución hipotecaria núm. 1646-2013 promovida por Banco de Sabadell, S.A., referida a varios inmuebles propiedad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5 de noviembre de 2013, Banco de Sabadell, S.A., presentó demanda contra Aluminios Torralba, S.A., dictándose auto de 19 de febrero de 2014 del Juzgado de Primera Instancia núm. 14 de Murcia por el que se despachaba ejecución y se requería de pago a la parte demandada. Dicha resolución fue notificada en la calle Jara 31, 3 A de Cartagena, domicilio de la demandada vigente en el registro, siendo devuelta por “desconocida” en dicha dirección.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entidad ejecutante interesó entonces que la citación se practicara en la persona de la representante legal de la recurrente, Rosa Salcedo Hernández, en Murcia, donde tampoco se pudo practicar.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citación se realizó mediante edictos, de conformidad con los arts. 156.4 y 164 de la Ley de enjuiciamiento civil (LEC) expuestos en el tablón de anuncios del juzgado desde el 31 de julio de 2014 hasta el 27 de noviembre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diligencia de ordenación de 29 de mayo de 2015 se indicó lo siguiente: “Visto el estado de las presentes actuaciones se acuerda consultar el punto neutro judicial a fin de averiguar nuevo domicilio de la mercantil ejecutada. Visto el resultado de la consulta y no constando domicilio diferente del que obra en las actuaciones en el que poder practicar la diligencia de notificación de la subasta […] la publicación de edicto en el tablón de anuncios de la oficina judicial y en el portal de subastas judiciales del Ministerio de Justicia servirá de notificación en 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sostiene la recurrente, dicha consulta al punto neutro judicial no llegó a realizarse, continuando el procedimiento hasta la subasta y dictándose el decreto de adjudicación en favor del ejecutante en fecha 9 de marzo de 2018, si bien la entrega ha sido suspendida, según le han manifestado los arrendatarios de las fincas.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recurrente tuvo conocimiento del procedimiento hipotecario a través de los citados arrendatarios y, tras solicitar su personación en la causa el 20 de junio de 2018, interpuso un incidente de nulidad de actuaciones el 4 de julio de 2018. El incidente fue desestimado por auto de 15 de enero de 2020, el cual argumenta que el domicilio en el que se intentó la notificación (calle Jara 31, 3 A, de Cartagena) es el que figura en la escritura de constitución del préstamo hipotecario de 14 de marzo de 2006 como domicilio para notificaciones. Y vuelve a figurar, a los mismos efectos, en la escritura de novación modificativa de dicho préstamo, de 30 de diciembre de 2009, por no contener modificación alguna al respecto. No consta que la prestataria comunicara la modificación de domicilio en los términos y con los efectos del art. 683 LEC. También se intentó la notificación en el domicilio de la representante legal de la sociedad (Rosa Salcedo Hernández) que aparece en las escrituras, lo que también resultó infructuoso. Por lo tanto, el auto concluye que no concurre causa alguna de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vulneran el derecho de la entidad recurrente a la tutela judicial efectiva sin indefensión (art. 24.1 CE), al no haberse agotado todas las posibles vías de averiguación de su domicilio para notificar de forma personal el auto por el que se despacha ejecución y requiere de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recurrente alega que, examinados los autos detalladamente, no consta en ningún momento que se hubiera practicado la consulta al punto neutro judicial acordada en la diligencia de ordenación de 29 de mayo de 2015 ni que Banco de Sabadell, S.A., haya mostrado la necesaria diligencia en instar esa averiguación acordada ni tampoco la necesaria consulta al Registro Mercantil de Murcia, en el que habría comprobado que Rosa Salcedo Hernández no tenía la representación que le imputaba el citado banco, por lo que, conforme a la legislación vigente y jurisprudencia aplicable, no se han agotado todas las posibles vías de averiguación a fin de hacer efectiva la notificación personal. Debido a todo esto, la ejecutada solo ha tenido conocimiento del proceso judicial cuando se solicitó la posesión de los bienes por la ejecutante, a través de los arrendatarios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en que, conforme al art. 155.3 LEC, en las actuaciones de la ejecución hipotecaria no figura que por parte de la ejecutante ni del juzgado se haya procedido a realizar una actuación averiguadora suficientemente diligente respecto del domicilio de la recurrente o de quien pudiera aparecer como “administrador”, “gerente”, “apoderado”, etc.; extremos que no hubieran resultado de gran complicación, habiendo bastado con acudir al registro mercantil de Murcia. Por tanto, no se han agotado las posibles vías de averiguación del domicilio de la recurrente en amparo, y además, la representante legal a la que se intentó citar dejó de tener cargos de representación en la sociedad antes de que se iniciara el proceso, pues el nombramiento por cinco años, de 15 de marzo de 2008, estaba caducado.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cita de las SSTC 150/2008, de 17 de noviembre, FJ 2; 78/2008, de 27 de julio, FJ 2; 122/2013, de 20 de mayo, FJ 5, y 6/2017, de 16 de enero, FJ 2, la demanda aduce que se ha vulnerado una consolidada doctrina que fue expuesta en el incidente de nulidad, sin que el juzgado entrara a valorarla ni siquiera someramente.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anule el auto de 15 de enero de 2020 por el que se desestima el incidente de nulidad de actuaciones y la diligencia que ordena el emplazamiento por edictos y, declarando la nulidad de lo actuado a partir de dicho momento, ordene la retroacción al momento de dictarse el auto de 19 de febrero de 2014 por el que se despachaba ejecución y se requería de pago a Aluminios Torralba,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medio de otrosí, el escrito de demanda solicitó, con base en el art. 56 de la Ley Orgánica del Tribunal Constitucional (LOTC), la suspensión del procedimiento mientras se tramita el recurso de amparo. Al respecto, alega que “los bienes hipotecados ya se encuentran en manos de un tercero, en teoría el banco ejecutante que solicita la posesión, dificultando la efectividad de la tutela que pudiera otorgarse y ello puesto que, en caso contrario, lo mejor que podría garantizarse al demandante es una protección a posteriori, vía indemnización, que resultaría incompleta e insuficiente”.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señala que la suspensión solicitada no supone la perturbación grave de los intereses generales ni afecta a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4 de noviembre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al Juzgado de Primera Instancia núm. 14 de Murcia, a fin de que, en plazo que no exceda de diez días, remita certificación o fotocopia adverada de las actuaciones correspondientes al procedimiento de ejecución hipotecaria número 1646-2013;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Fórmese la oportuna pieza para la sustanciación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el 4 de noviembre de 2020,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entidad recurrente presentó su escrito de alegaciones con fecha 16 de noviembre de 2020, interesando que se acceda a lo solicitado en cuanto a la suspensión del procedimiento de ejecución hipotecaria, ratificándose en los argumentos esgrimidos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informa que por diligencia de 9 de noviembre de 2020 ha tenido conocimiento de la personación de la mercantil Promontoria Coliseum Industrial Assets, como actual propietaria de los inmuebles adjudicados. A juicio de la demandante, esto aumenta la necesidad de tutela cautelar puesto que, en caso contrario, lo mejor que podría garantizarse al demandante es la protección a posteriori, vía indemnización, que resultaría incompleta e insuficiente. Insiste en que ve peligrar gravemente la efectividad de la sentencia que pudiera recaer en el presente procedimiento, a menos que se adopte con carácter de urgencia la medida aseguradora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manifestaba en la demanda, aduce que no es previsible que la ejecutante padezca perjuicio alguno, puesto que ya cuenta con el decreto de adjudicación de las fincas expedido por el juzgado, lo que constituye caución más que suficiente para responder de los posibles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ante este Tribunal Constitucional formalizó su escrito de alegaciones en esta pieza el 23 de noviembre de 2020, interesando que se adopte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citar el art. 56.2 LOTC y reproducir lo declarado en el ATC 127/2015, de 20 de julio, FJ 1, en relación con la necesidad de acreditar por el interesado la existencia de un perjuicio irreparable, para poder acordarse la suspensión de los actos impugnados en amparo, el fiscal sostiene que en el presente caso, la recurrente solicita la suspensión “sin explicitar ninguna razón que permita afirmar que la continuación del procedimiento judicial, incluso con desplazamiento posesorio, provoque un perjuicio determinante de la pérdida de la finalidad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“para conseguir el efecto protector deseado por la recurrente y enervar los indeseados efectos de la paralización del procedimiento que por su propia naturaleza goza de las características de celeridad y sumariedad, se puede acordar la anotación preventiva de la demanda de amparo en el registro de la propiedad, ya que de esta manera se daría publicidad frente a terceros de la pendencia del recurso, lo que conlleva el conocimiento de los efectos que sobre la titularidad de la finca puede tener el otorgamiento del amparo en su caso, evitando que el hipotético tercero adquirente quede especialmente protegido por su buena fe en la adquisición”. Cita en apoyo de esto el art. 56.3 LOTC, que permite al tribunal adoptar toda medida que evite que el recurso de amparo pueda perder su finalidad, así como el ATC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finalmente, en que es procedente la medida de anotación preventiva, pues de lo contrario “la tutela que pudiera otorgarse por este tribunal no sería completa si se deja abierta la posibilidad de que la finca sea transmitida a tercero de buena fe mientras se sustancia y resuelve el presente proceso de amparo”, por lo que se interesa su adopción.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es determinar la procedencia o no de la medida cautelar instada por la parte recurrente en amparo en el procedimiento de ejecución hipotecaria núm. 1646-2013 seguido en el Juzgado de Primera Instancia núm. 14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pone de manifiesto que, de no acordarse la suspensión, peligraría gravemente la efectividad de la sentencia que pudiera recaer en el recurso de amparo, lo cual considera especialmente grave atendiendo a que ya se ha dictado decreto de adjudicación. Afirma, no obstante, que, llegado el día de la entrega al adjudicatario, la misma ha sido suspendida, según le manifiestan los arrendatarios de los inmuebles. Por otro lado, en las alegaciones en la pieza de suspensión, añade que ha tenido conocimiento de que en el procedimiento de ejecución ha comparecido una nueva entidad en calidad de actual titular de los inmuebles adjudicados.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tales circunstancias, este tribunal entiende, tal y como interesa el fiscal, que lo procedente es acordar la anotación preventiva de la demanda de amparo en el registro de la propiedad. Esta misma ha sido la solución acogida recientemente, entre otros, en los AATC 106/2017, de 17 de julio, FJ 3; 88/2018, de 17 de septiembre, FJ 5; 2/2019, de 9 de enero, FJ 4, y 123/2020, de 19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1646-2013 seguido en el Juzgado de Primera Instancia núm. 14 de Murcia.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los inmuebles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