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1745-1987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1.745/1987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23 de diciembre de 1987, el Procurador don José Sánchez Jáuregui, en nombre de don Gabriel Rodríguez del Paso, interpuso recurso de amparo contra Acuerdo del Ayuntamiento de La Zubia (Granada), sobre clausura de actividad de desguace de automóviles.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funda en las siguientes alegaciones de hecho: El recurrente solicitó reiteradamente del Ayuntamiento de La Zubia licencia para construir una nave de desguace de automóviles en terreno de su propiedad, y, posteriormente, para legalizar esa actividad que, según dice, venía desarrollando pública y notoriamente en dicho terreno. Por Acuerdo de 31 de enero de 1984, el Ayuntamiento denegó la licencia solicitada y ordenó clausurar la actividad de desguace, sin audiencia previa al interesado. Dicho Acuerdo fue confirmado en reposición por otro de 29 de febrero de 1984, y en la vía contencioso-administrativa, por Sentencias de la Audiencia Territorial de Granada de 4 de marzo de 1986, y de la Sala Cuarta del Tribunal Supremo de 30 de octubre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recurrente que la falta de audiencia al mismo en el procedimiento de clausura de la actividad de desguace vulnera el art. 24 de la C.E., pues le causa indefensión, sin que pueda aducirse en su contra el art. 184 de la Ley del Suelo, pues éste, interpretado conforme a la Constitución, sólo permitiría suspender «inmediatamente» sin trámite alguno un acto o actividad de utilización ilegal del suelo en supuesto de extraordinaria y urgente necesidad, que en este caso no concurre. Por ello, se solicita de este Tribunal que anule el Acuerdo municipal recurrido y Sentencias que lo confirmen y ordene retrotraer el expediente para que se dé audiencia al recurrente antes de adoptar cualquier resolución. Solicita también la suspensión cautelar de la ejecución del Acuerdo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del Tribunal Constitucional, por providencia de 20 de enero de 1988, acordó conceder un plazo común de diez días al recurrente de amparo y al Ministerio Fiscal para que alegasen lo que estimaran conveniente en relación con la posible presencia de la causa de inadmisión prevista en el art. 50.2 b) de la LOTC, consistente en carecer la demanda manifiestamente de contenido que justifique una resolución por parte de este Tribunal Constitucional. El Ministerio Fiscal, en escrito presentado el 3 de febrero de 1988, expone que no se ha producido en el presente caso una sanción de ningún tipo, por lo que no puede hablarse de un derecho a la audiencia administrativa. Por lo que interesa se inadmita el recurso, por carecer de contenido constitucional. El recurrente, en escrito de fecha de entrada de 8 de febrero de 1988, se ratifica en los argumentos expuestos en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demanda de amparo presentada carece manifiestamente de contenido constitucional, por lo que procede apreciar la presencia del motivo de inadmisión indicado en nuestra providencia de 20 de enero pasado. En efecto, como este Tribunal ha reiterado.  el art. 24.1 C.E.  no se refiere a la garantía de la audiencia en el procedimiento administrativo, cuya ausencia no constituye infracción susceptible de amparo (STC 68/1985, de 27 de mayo fundamento jurídico 4.°: Autos de 13, 20 y 27 de mayo de 1987), salvo que el procedimiento tenga carácter sancionador. Este no es aquí el caso, por tratarse de un acto de protección de la legalidad urbanística, y no una resolución sancionadora de una conducta ilícita y punible por contraria a la disciplina urbanística.  En consecuencia, lo que el recurrente plantea es una cuestión de mera legalidad, de la exclusiva competencia de los órganos judiciales ordinarios.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