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2481-2000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2481-2000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La suspensión de la ejecución de la pena privativa de libertad y de las accesorias impuestas a doña María del Pilar Moreno Zazo por la Sentencia dictada por la Sección Segunda de la Audiencia Provincial de Madrid el 8 de marzo de 2000 (rollo de</w:t>
            </w:r>
          </w:p>
          <w:p w:rsidRPr="00D13423" w:rsidR="00AD51A7" w:rsidRDefault="00AD51A7">
            <w:pPr>
              <w:rPr/>
            </w:pPr>
            <w:r w:rsidRPr="&lt;w:rPr xmlns:w=&quot;http://schemas.openxmlformats.org/wordprocessingml/2006/main&quot;&gt;&lt;w:color w:val=&quot;800080&quot; /&gt;&lt;w:szCs w:val=&quot;24&quot; /&gt;&lt;/w:rPr&gt;">
              <w:rPr/>
              <w:t xml:space="preserve">apelación núm. 20049/99).</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en lo que respecta al pago de la indemnización y costas establecido en relación a la Sra. Moreno Zazo en el fallo de la mencionada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28 de abril de 2000, la Procuradora de los Tribunales doña Mercedes Albi Murcia, en nombre y representación de doña María del Pilar Moreno Zazo, interpone recurso de amparo contra la Sentencia dictada por la Sección Segunda de la Audiencia Provincial de Madrid el 8 de marzo de 2000, que confirmó en apelación la dictada por el Juzgado de lo Penal núm. 24 de Madrid el 1 marzo de 1999, en causa seguida por delito de estafa. En la demanda de amparo se denuncia la vulneración de los derechos a obtener tutela judicial efectiva y a la presunción de inocencia (art. 24.1 y 2 CE,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(Sala Segunda) de este Tribunal de 17 de mayo de 2001 se acordó, de conformidad con lo dispuesto en el art. 50.3 LOTC, conceder a la demandante de amparo y al Ministerio Fiscal el plazo común de tres días para que formularan las alegaciones que estimaran pertinentes en relación con la posible carencia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12 de junio de 2001 la Procuradora Sra. Albi Murcia remite su escrito de alegaciones, en el que viene a iterar las ya formuladas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evacúa el trámite concedido mediante escrito registrado el 15 de junio de 2001. En él interesa la admisión a trámite de la demanda de amparo por entender que, inicialmente, posee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 este Tribunal, por sendas providencias de 19 de julio de 2001, acordó, respectivamente, la admisión a trámite de la demanda de amparo y la formación de pieza separada para la tramitación del incidente sobre suspensión de la ejecución, concediendo a la parte recurrente y al Ministerio Fiscal un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evacúa el trámite conferido mediante escrito registrado el 27 de julio de 2001. En él, tras recordar la doctrina de este Tribunal sobre el art. 56 LOTC, estima que, si se compara la duración de la pena privativa con el tiempo que requiere la tramitación de un proceso como el presente, para el supuesto de que no le alcanzasen a la actora los beneficios de la condena condicional no suspender la ejecución de la resolución recurrida ocasionaría un perjuicio irreparable que dejaría totalmente en entredicho la eficacia de un eventual fallo estimatorio. Por otro lado, atendidas las demás circunstancias concurrentes en el caso, no se aprecia que acceder a la suspensión solicitada ocasione una lesión específica y grave del interés general, más allá de aquéllas que de por sí produce la no ejecución de un fallo judicial. Por ello estima procedente se acuerde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actora no envía escrito alguno evacuando el traslado conferido.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tenor del art. 56.1 LOTC la Sala que conozca de un recurso de amparo suspenderá la ejecución del acto de los poderes públicos por razón del cual se solicite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Por tanto, la regla general ha de ser la improcedencia de la suspensión de las resoluciones judiciales, salvo en los casos en los que se acredite de forma fehaciente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entre otros muchos).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117/1999,227/1999,41/2001 y 127/2001).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esta doctrina general, este Tribunal tiene declarado que la ejecución de las Sentencias cuyos efectos son fundamentalmente patrimoniales o de contenido económico, ni causa un perjuicio irreparable al obligado al pago por la sentencia condenatoria, ni el amparo puede perder su finalidad, ya que cabe la restitución íntegra de lo ejecutado (AATC 573/1985, 574/1985 y 275/1990 por todos). Esta doctrina es igualmente aplicable a la condena en costas procesales, pues, al entrañar un pago en dinero, su ejecución no provoca ningún perjuicio que pueda hacer inútil el recurso de amparo (AATC 244/1991, 267/1995 y 44/2001, entre otros muchos).</w:t>
      </w:r>
    </w:p>
    <w:p w:rsidRPr="00C21FFE" w:rsidR="00AD51A7" w:rsidRDefault="00AD51A7">
      <w:pPr>
        <w:rPr/>
      </w:pPr>
      <w:r w:rsidRPr="&lt;w:rPr xmlns:w=&quot;http://schemas.openxmlformats.org/wordprocessingml/2006/main&quot;&gt;&lt;w:lang w:val=&quot;es-ES_tradnl&quot; /&gt;&lt;/w:rPr&gt;">
        <w:rPr/>
        <w:t xml:space="preserve">Sin embargo, y pesar del carácter excepcional de la suspensión, procede en principio, otorgarla si las resoluciones judiciales afectan a bienes o derechos del recurrente de amparo de imposible o muy difícil restitución a su estado anterior, como ocurre con las condenas a penas de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muchos, AATC 144/1984, 267/1995, 301/1995, 7/1996, 152/1996, 87/1997, 286/1997, 182/1998, 271/1998).</w:t>
      </w:r>
    </w:p>
    <w:p w:rsidRPr="00C21FFE" w:rsidR="00AD51A7" w:rsidRDefault="00AD51A7">
      <w:pPr>
        <w:rPr/>
      </w:pPr>
      <w:r w:rsidRPr="&lt;w:rPr xmlns:w=&quot;http://schemas.openxmlformats.org/wordprocessingml/2006/main&quot;&gt;&lt;w:lang w:val=&quot;es-ES_tradnl&quot; /&gt;&lt;/w:rPr&gt;">
        <w:rPr/>
        <w:t xml:space="preserve">No obstante, el criterio referido a la suspensión de resoluciones judiciales en cuyo fallo se declare la condena a penas de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Äejecutoriedad de las resoluciones judiciales y derecho a la libertad personalÄ, y, por ello, deben examinarse las circunstancias específicas que concurren en cada supuesto, pues las mismas pueden incrementar o disminuir el peso de los citados valores inclinando la resolución a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 476/1984, 418/1985, 522/1985, 53/1992, 152/1995, 196/1995, 121/1996, 163/1996, 226/1996, 419/1997, 79/1998, 186/1998, 220/1999 y 114/2000). De entre tales criterios cobra especial relevancia el referido a la gravedad de la pena impuesta, ya que expresa de forma sintética la reprobación que el Ordenamiento asigna al hecho delictivo -la importancia del bien jurídico tutelado, la gravedad y trascendencia social del delito y, en consecuencia, la magnitud del interés general en su ejecución (AATC 273/1998 y 62/2001).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las resoluciones objeto del presente recurso la demandante de amparo fue condenada, como autora responsable de un delito continuado de estafa, a la pena de un año de prisión menor, con las accesorias legales, así como al pago proporcional, junto con el otro condenado, de las costas y de la indemnización que se señala (6.946.100 pesetas)</w:t>
      </w:r>
    </w:p>
    <w:p w:rsidRPr="00C21FFE" w:rsidR="00AD51A7" w:rsidRDefault="00AD51A7">
      <w:pPr>
        <w:rPr/>
      </w:pPr>
      <w:r w:rsidRPr="&lt;w:rPr xmlns:w=&quot;http://schemas.openxmlformats.org/wordprocessingml/2006/main&quot;&gt;&lt;w:lang w:val=&quot;es-ES_tradnl&quot; /&gt;&lt;/w:rPr&gt;">
        <w:rPr/>
        <w:t xml:space="preserve">Por ello, de conformidad con la doctrina acabada de extractar, procede, en primer término, la suspensión de la ejecución de la pena privativa de libertad impuesta así como de las accesorias, que deben seguir el mismo régimen que la principal. La aplicación al caso de la doctrina reseñada anteriormente obliga a considerar, si se compara la duración de la pena privativa de libertad impuesta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se aprecia que acceder a la suspensión solicitada, no ocasionaría una lesión específica y grave del interés general, como no sea la no ejecución de un fallo judicial (AATC 163/1996, 348/1996, 419/1997, 48/1998, 79/1998 y 262/1998, entre otros muchos); respecto, además, de una persona que, cuando fue condenada, ya se encontraba en libertad.</w:t>
      </w:r>
    </w:p>
    <w:p w:rsidRPr="00C21FFE" w:rsidR="00AD51A7" w:rsidRDefault="00AD51A7">
      <w:pPr>
        <w:rPr/>
      </w:pPr>
      <w:r w:rsidRPr="&lt;w:rPr xmlns:w=&quot;http://schemas.openxmlformats.org/wordprocessingml/2006/main&quot;&gt;&lt;w:lang w:val=&quot;es-ES_tradnl&quot; /&gt;&lt;/w:rPr&gt;">
        <w:rPr/>
        <w:t xml:space="preserve">Y, en segundo término, resulta evidente que no procede la suspensión de la Sentencia en lo atinente a los pronunciamientos de carácter patrimonial (indemnización y costas procesales), ya que ningún perjuicio irreparable ocasionaría su ejecución al ser posible su íntegra restitución en caso de estimarse el amparo (AATC 152/1996, 91/1997, 273/1998, 193/2000, 258/2000).  Este criterio se corrobora porque la recurrente no ha alegado ni acreditado de qué modo el cumplimiento de la condena respecto de tales pronunciamientos le causaría un perjuicio que hiciera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 La suspensión de la ejecución de la pena privativa de libertad y de las accesorias impuestas a doña María del Pilar Moreno Zazo por la Sentencia dictada por la Sección Segunda de la Audiencia Provincial de Madrid el 8 de marzo de 2000 (rollo de</w:t>
      </w:r>
    </w:p>
    <w:p w:rsidRPr="" w:rsidR="00AD51A7" w:rsidRDefault="00AD51A7">
      <w:pPr>
        <w:rPr/>
      </w:pPr>
      <w:r w:rsidRPr="&lt;w:rPr xmlns:w=&quot;http://schemas.openxmlformats.org/wordprocessingml/2006/main&quot;&gt;&lt;w:szCs w:val=&quot;24&quot; /&gt;&lt;/w:rPr&gt;">
        <w:rPr/>
        <w:t xml:space="preserve">apelación núm. 20049/99).</w:t>
      </w:r>
    </w:p>
    <w:p w:rsidRPr="" w:rsidR="00AD51A7" w:rsidRDefault="00AD51A7">
      <w:pPr>
        <w:rPr/>
      </w:pPr>
      <w:r w:rsidRPr="&lt;w:rPr xmlns:w=&quot;http://schemas.openxmlformats.org/wordprocessingml/2006/main&quot;&gt;&lt;w:szCs w:val=&quot;24&quot; /&gt;&lt;/w:rPr&gt;">
        <w:rPr/>
        <w:t xml:space="preserve">2. Denegar la suspensión de la ejecución en lo que respecta al pago de la indemnización y costas establecido en relación a la Sra. Moreno Zazo en el fallo de la mencionada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