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28 de abril de 2001, don Elías Emilio Lorenzana de la Puente interpuso recurso de amparo contra la Sentencia de la Audiencia Provincial de Badajoz, Sección Segunda, de 19 de marzo de 2001, que confirma en apelación la del Juzgado de Instrucción núm. 1 de Zafra, de 15 de enero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soa) El recurrente fue condenado, por Sentencia del Juzgado de Instrucción núm. 1 de Zafra, de 15 de enero de 2001, como autor de una falta de injurias del art. 620.2 CP, a la pena de quince días de multa, con cuota diaria de 2.000 pesetas, con responsabilidad personal subsidiaria de un día de privación de libertad por cada dos cuotas no satisfechas, así como al pago de las costas procesales. </w:t>
      </w:r>
    </w:p>
    <w:p w:rsidRPr="00C21FFE" w:rsidR="00AD51A7" w:rsidRDefault="00AD51A7">
      <w:pPr>
        <w:rPr/>
      </w:pPr>
      <w:r w:rsidRPr="&lt;w:rPr xmlns:w=&quot;http://schemas.openxmlformats.org/wordprocessingml/2006/main&quot;&gt;&lt;w:lang w:val=&quot;es-ES_tradnl&quot; /&gt;&lt;/w:rPr&gt;">
        <w:rPr/>
        <w:t xml:space="preserve">Dicha Sentencia considera probado que el acusado, concejal de Izquierda Unida en el Ayuntamiento de Fuente de Cantos, en una reunión del Pleno municipal en que se debatía acerca del convenio sobre la gestión de la residencia de ancianos, manifestó en el curso del debate: "¿a quién interesa la firma del convenio? ... y a ciertos personajillos lameculos, como puede ser, por ejemplo, el mismo director de la residencia de ancianos, que ese sí se iría a la calle si la gestión la asume la Junta..."; y en otro momento se refiere también al administrador denunciante afirmando: "los que sacan provecho son ... y el Sr. administrador, que ya se le ha acabado el contrato y sigue caciqueando y lamiendo culos hasta que de alguna forma se le retribuya". </w:t>
      </w:r>
    </w:p>
    <w:p w:rsidRPr="00C21FFE" w:rsidR="00AD51A7" w:rsidRDefault="00AD51A7">
      <w:pPr>
        <w:rPr/>
      </w:pPr>
      <w:r w:rsidRPr="&lt;w:rPr xmlns:w=&quot;http://schemas.openxmlformats.org/wordprocessingml/2006/main&quot;&gt;&lt;w:lang w:val=&quot;es-ES_tradnl&quot; /&gt;&lt;/w:rPr&gt;">
        <w:rPr/>
        <w:t xml:space="preserve">b) Contra la anterior resolución interpusieron recurso de apelación tanto el condenado, como el denunciante, exigiendo éste la imposición de responsabilidad civil. </w:t>
      </w:r>
    </w:p>
    <w:p w:rsidRPr="00C21FFE" w:rsidR="00AD51A7" w:rsidRDefault="00AD51A7">
      <w:pPr>
        <w:rPr/>
      </w:pPr>
      <w:r w:rsidRPr="&lt;w:rPr xmlns:w=&quot;http://schemas.openxmlformats.org/wordprocessingml/2006/main&quot;&gt;&lt;w:lang w:val=&quot;es-ES_tradnl&quot; /&gt;&lt;/w:rPr&gt;">
        <w:rPr/>
        <w:t xml:space="preserve">Por Sentencia de la Audiencia Provincial de Badajoz, Sección Segunda, de 19 de marzo de 2001, se desestima el recurso del demandante de amparo, por entender, en la misma línea que la Sentencia de instancia, que se han producido expresiones formalmente injuriosas en cualquier contexto, que además eran innecesarias para la labor informativa o de formación de la opinión pública, por lo que suponen un daño gratuito a la dignidad de la persona o a su prestigio, sin que la condición de concejal del denunciado justifique su actuación, sino que la hace más censurable, pues su condición de representante del vecindario "le exige una mayor exquisitez en el cumplimiento de sus funciones". </w:t>
      </w:r>
    </w:p>
    <w:p w:rsidRPr="00C21FFE" w:rsidR="00AD51A7" w:rsidRDefault="00AD51A7">
      <w:pPr>
        <w:rPr/>
      </w:pPr>
      <w:r w:rsidRPr="&lt;w:rPr xmlns:w=&quot;http://schemas.openxmlformats.org/wordprocessingml/2006/main&quot;&gt;&lt;w:lang w:val=&quot;es-ES_tradnl&quot; /&gt;&lt;/w:rPr&gt;">
        <w:rPr/>
        <w:t xml:space="preserve">Esta Sentencia estima, sin embargo, el recurso de apelación del denunciante, condenando al ahora recurrente en amparo al pago de 30.000 pesetas e intereses de demora, en concepto de responsabilidad civil derivada de la infracción penal, declarando de oficio las costas de la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las resoluciones judiciales recurridas por vulneración de los derechos del recurrente a la libertad de expresión [art. 20.1 a) LOTC] y a participar en asuntos públicos (art. 23.1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la suspensión de la ejecución de la Sentencia, alegando que la misma podría ocasionarle un perjuicio que haría perder al amparo su finalidad, por el enorme desprestigio al cargo público, cuya reparación sería imposible.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enero de 2003, la Sección Segunda de este Tribunal acordó la admisión a trámite de la demanda así como, a tenor de lo establecido en el artículo 51 LOTC, requerir a los órganos judiciales para que en el plazo de diez días remitieran testimonio de las actuaciones y para que al propio tiempo se emplazara a quienes fueron parte en el procedimiento, a excepción del demandante de amparo, a fin de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artículo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10 de febrero de 2003 se registró en este Tribunal el escrito de alegaciones del Ministerio Fiscal, quien se opone a la suspensión solicitada, dado que el recurrente ha sido condenado a una pena de quince días de multa con cuota diaria de 2.000 pesetas (un total de 30.000 pesetas), al pago de una indemnización de 30.000 pesetas y al pago de las costas de la primera instancia, todos ellos pronunciamientos de carácter patrimonial de pequeña cuantía y por ello no causantes de perjuicios irreparables, dado que caso de otorgarse el amparo, sería posible su restitución íntegra. Respecto del desprestigio irreparable para el cargo público que ostenta, entiende el Fiscal que éste es el objeto de amparo, no de la suspensión, de la que no puede pretenderse un efecto de anticipación de un hipotético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19 de febrero de 2003 tuvo entrada en este Tribunal el escrito de alegaciones del demandante de amparo, en el que reitera la solicitud de suspensión. Tras manifestar que es consciente de la doctrina de este Tribunal en materia de suspensión, así como del carácter provisional, excepcional y de aplicación restrictiva de esta medida, reitera que los intereses en juego en el presente supuesto no son estrictamente económicos, sino que se trata de salvaguardar su prestigio político y moral como representante popular en una pequeña localidad, que se vería seriamente comprometido con un cumplimiento anticipado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económico, pues ni se causa un perjuicio irreparable al obligado al pago por la Sentencia condenatoria, ni hace perder al amparo su finalidad (SSTC 275/1990, 44/2001; 106/2002). Por el contrario, si los pronunciamientos condenatorios afectan a bienes o derechos del recurrente en amparo de imposible o muy difícil restitución a su estado anterior, procede acordarla, lo cual sucede, en principio, en las condenas a penas privativas de libertad y a penas privativas o limitativas de ciertos derechos (por todos, entre los más recientes, AATC 286/2000,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la improcedencia de la suspensión solicitada. El recurrente resultó condenado exclusivamente a una pena de multa (cuyo importe total es de 30.000 pesetas) y al pago de una indemnización de 30.000 pesetas y de las costas procesales, condenas de contenido económico cuya ejecución no ocasionaría ningún perjuicio irreparable, al ser posible su restitución íntegra caso de estimarse el amparo, sin que se haya acreditado la irreparabilidad del perjuicio derivado de la ejecución de la condena. Una irreparabilidad que difícilmente puede ocasionar la ejecución de una condena de tan escasa cuantía económica, salvo en circunstancias absolutamente excepcionales, y sin que los restantes argumentos esgrimidos por el recurrente sean relevantes a los efectos de la suspensión solicitada.</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y 41/2002).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