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3325-2001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3325-2001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13 de junio de 2001, don Pedro Antonio González Sánchez, Procurador de los Tribunales, en nombre de don Francisco Cachón Ruiz y don Juan Antonio García Gómez, interpuso recurso de amparo contra la Sentencia de la Sala de lo Penal del Tribunal Supremo, de 21 de mayo de 2001, que desestima el recurso de casación interpuesto contra la de la Audiencia Provincial de Málaga, Sección Segunda, de 17 de mayo de 1999, sobre delito contra la salud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sa) Los recurrentes fueron condenados por Sentencia de la Audiencia Provincial de Málaga, Sección Segunda, de 17 de mayo de 1999, como autores de un delito contra la salud pública relativo a sustancia que no causa grave daño para la salud (hachís) y en cuantía de notoria importancia (más de 1.500 Kg.), con la agravante de reincidencia, a la pena de cuatro años y cuatro meses de prisión y multa de seiscientos millones de pesetas, así como al abono de la parte proporcional de las costas. </w:t>
      </w:r>
    </w:p>
    <w:p w:rsidRPr="00C21FFE" w:rsidR="00AD51A7" w:rsidRDefault="00AD51A7">
      <w:pPr>
        <w:rPr/>
      </w:pPr>
      <w:r w:rsidRPr="&lt;w:rPr xmlns:w=&quot;http://schemas.openxmlformats.org/wordprocessingml/2006/main&quot;&gt;&lt;w:lang w:val=&quot;es-ES_tradnl&quot; /&gt;&lt;/w:rPr&gt;">
        <w:rPr/>
        <w:t xml:space="preserve">b) Contra la anterior resolución se interpuso recurso de casación, desestimado por Sentencia de la Sala de lo Penal del Tribunal Supremo, de 11 de abril de 2001. Esta Sentencia rechaza tanto la existencia de vulneración del art. 18.3 CE como consecuencia de las escuchas telefónicas practicadas en el procedimiento (por considerar que los Autos que las acuerdan están suficientemente motivados, al existir indicios de la participación de los recurrentes en un delito de tráfico de drogas, indicios "que no precisan de seguridad y detalle, pues, si se supieran, no haría falta ya la investigación", pero que eran "más que meras sospechas o conjeturas"; que la necesidad y proporcionalidad de la medida están fuera de duda "porque el sigilo con que operaban no dejaba otra alternativa de investigación, ni la gravedad de los hechos de que había indicios.. puede oponerse a la derogación en este caso del derecho al secreto de las comunicaciones", destacando que el resultado de las intervenciones no fue utilizado como prueba), como del art. 18.2 CE en relación con el 24.2 y 53.1 CE (por entender que la presencia en el registro de los recurrentes no era necesaria al no ser los titulares del domicilio, y porque un automóvil no es domicilio).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resolución judicial recurrida ha vulnerado los derechos de los recurrentes al secreto de las comunicaciones (art. 18.3 CE), a la tutela judicial efectiva (art. 24.1 CE), ), a un proceso con todas las garantías (art. 24.2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56.1 LOTC el demandante solicita se deje en suspenso la ejecución de la Sentencia, alegando que su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marzo de 2003, la Sección Segunda de este Tribunal acordó la admisión a trámite de la demanda así como, a tenor de lo establecido en el art. 51 LOTC, requerir atentamente a la Sección Segunda de la Audiencia Provincial de Málaga para que emplazase a quienes fueron parte en el procedimiento, a excepción del demandante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25 de marzo de 2003, realizaron sus alegaciones los demandantes de amparo, quienes reiteran la solicitud de suspensión de la ejecución, porque de ejecutarse la Sentencia se irrogaría un perjuicio de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27 de marzo de 2003 tuvo entrada en este Tribunal el escrito de alegaciones del Ministerio Fiscal. En dicho escrito, tras analizar la doctrina de este Tribunal en materia de suspensión, se considera no procedente acceder a la suspensión solicitada, ni en lo relativo a las costas y a la multa (al tratarse de pronunciamientos de carácter económico y, en consecuencia, fácilmente reparables), ni en lo relativo a la pena privativa de libertad (ante la gravedad de los hechos enjuiciados, y las circunstancias concurrentes en los mismos), interesando que se dé tramitación preferente al presente recurso, para no hacer perder al amparo su finalidad en caso de un eventual otorgamiento del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47/1998, 79/1998, 182/1998, 186/1998, 99/2002), salvo que el demandante acredite suficientemente la irreparabilidad que para sus derechos fundamentales pudiera tener la 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 9/2003).</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y 42/2000,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debe conducir a la denegación de la suspensión solicitada.</w:t>
      </w:r>
    </w:p>
    <w:p w:rsidRPr="00C21FFE" w:rsidR="00AD51A7" w:rsidRDefault="00AD51A7">
      <w:pPr>
        <w:rPr/>
      </w:pPr>
      <w:r w:rsidRPr="&lt;w:rPr xmlns:w=&quot;http://schemas.openxmlformats.org/wordprocessingml/2006/main&quot;&gt;&lt;w:lang w:val=&quot;es-ES_tradnl&quot; /&gt;&lt;/w:rPr&gt;">
        <w:rPr/>
        <w:t xml:space="preserve">Por lo que se refiere a los pronunciamientos de contenido patrimonial - multa y costas procesales- porque, de conformidad con el criterio de este Tribunal, al tratarse de condenas de contenido económico, los perjuicios anejos a su ejecución son perfectamente reparables en caso de estimarse el amparo (AATC 152/1996, 371/1996, 91/1997, 181/1998, 182/1998, 273/1998, 189/2000, 193/2000, 204/2000, 106/2002). Ciertamente este Tribunal ha declarado que, excepcionalmente, también es posible acceder a la suspensión solicitada cuando se trate de condenas pecuniarias cuyo cumplimiento, por su importancia o cuantía o por las especiales circunstancias concurrentes, pueda causar daños irreparables (por todos, AATC 321/1995, 344/1996, 65/1999, 61/2000, 115/2000, 9/2002). No obstante, en el presente caso, pese a la elevada cuantía de la multa impuesta, no se ha acreditado la irreparabilidad del perjuicio derivado de la ejecución por la concurrencia de circunstancias especiales, carga que corresponde al recurrente (por todos, AATC 253/1995, 72/1997, 93/2002).</w:t>
      </w:r>
    </w:p>
    <w:p w:rsidRPr="00C21FFE" w:rsidR="00AD51A7" w:rsidRDefault="00AD51A7">
      <w:pPr>
        <w:rPr/>
      </w:pPr>
      <w:r w:rsidRPr="&lt;w:rPr xmlns:w=&quot;http://schemas.openxmlformats.org/wordprocessingml/2006/main&quot;&gt;&lt;w:lang w:val=&quot;es-ES_tradnl&quot; /&gt;&lt;/w:rPr&gt;">
        <w:rPr/>
        <w:t xml:space="preserve">En cuanto a la pena privativa de libertad, la ponderación de intereses que hemos de llevar a cabo nos obliga a considerar, entre otros factores, la gravedad y trascendencia social del delito (tráfico de drogas en cantidad de notoria importancia), y la gravedad de la pena impuesta (superior a cuatro años), factores que, como argumenta el Ministerio Fiscal, determinan la existencia de un especial interés en la ejecución de las Sentencias condenatorias, que debe considerarse preponderante frente al eventual perjuicio causado a los recurrentes, cuya irreparabilidad, caso de un eventual otorgamiento del amparo, puede atemperarse otorgando al recurso una tramitación preferente.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