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Segunda de la Audiencia Provincial de Huelva de 18 de abril de 2002, exclusivamente en lo referente a la pena privativa de libertad, a la accesoria de inhabilitación especial del derecho de</w:t>
            </w:r>
          </w:p>
          <w:p w:rsidRPr="00D13423" w:rsidR="00AD51A7" w:rsidRDefault="00AD51A7">
            <w:pPr>
              <w:rPr/>
            </w:pPr>
            <w:r w:rsidRPr="&lt;w:rPr xmlns:w=&quot;http://schemas.openxmlformats.org/wordprocessingml/2006/main&quot;&gt;&lt;w:color w:val=&quot;800080&quot; /&gt;&lt;w:szCs w:val=&quot;24&quot; /&gt;&lt;/w:rPr&gt;">
              <w:rPr/>
              <w:t xml:space="preserve">sufragio pasivo durante el tiempo de la condena y, en su caso, el arresto sustitutorio.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mayo de 2002, el Procurador de los Tribunales don Antonio de Palma Villalón, en nombre y representación de don Casimiro Frigolet Guerrero, don Juan Manuel Sosa Toscano y don Manuel Pinell Serrano, que actúan asistidos por la Abogada doña María Ángela Bascón López, interpuso recurso de amparo contra la Sentencia de la Sección Segunda de la Audiencia Provincial de Huelva de 18 de abril de 2002, por la que se desestimó el recurso de apelación contra la Sentencia del Juzgado de lo Penal núm. 2 de Huelva de 7 de abril de 2001, en la que se condenó a los recurrentes como autores de un delito de contrabando a sendas penas de un año y nueve meses de prisión, con la accesoria de inhabilitación para el derecho de sufragio pasivo durante el tiempo de la condena y multa de 4.050.000 pesetas con noventa días de arresto sustitutorio en caso de impago; pago de las costas procesales por partes iguales y como responsabilidad civil a indemnizar conjunta y solidariamente al Estado en la cantidad de 1.469.812 pesetas, con el interés legal correspondiente. Igualmente se acuerda el comiso del genero intervenido y del dinero que fue ocupado a los condenados producto de la actividad delictiva.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Los recurrentes fueron detenidos el 27 de octubre de 1996, al ser sorprendidos cargando en sus vehículos particulares 13,5 cajas de 500 cajetillas de tabaco rubio americano, con una valoración superior a los dos millones de pesetas, lo que dio lugar a la incoación de las diligencias previas 1797-1996 en el Juzgado de Instrucción núm. 2 de Ayamonte. Posteriormente fue acordada por dicho Juzgado la intervención de diversos teléfonos de los recurrentes durante diferentes periodos de tiempo, ante las sospechas de que pudieran formar parte de una organización y la posible continuación de actividades delictivas. </w:t>
      </w:r>
    </w:p>
    <w:p w:rsidRPr="00C21FFE" w:rsidR="00AD51A7" w:rsidRDefault="00AD51A7">
      <w:pPr>
        <w:rPr/>
      </w:pPr>
      <w:r w:rsidRPr="&lt;w:rPr xmlns:w=&quot;http://schemas.openxmlformats.org/wordprocessingml/2006/main&quot;&gt;&lt;w:lang w:val=&quot;es-ES_tradnl&quot; /&gt;&lt;/w:rPr&gt;">
        <w:rPr/>
        <w:t xml:space="preserve">b) El Juzgado de lo Penal núm. 2 de Huelva por Sentencia de 7 de abril de 2001 condenó a los recurrentes como autores de un delito de contrabando, por estos hechos, que consideró acreditados en función de pruebas testificales de miembros de la Guardia civil y del SVA, así como las declaraciones de los acusados ante el Juzgado de Instrucción, reproducidas por lectura en el juicio oral. Los recurrentes interpusieron recurso de apelación, alegando vulneración del derecho al secreto de las comunicaciones y a la presunción de inocencia, recurso que fue desestimado por la Sentencia de 18 de abril de 2002 de la Sección Segunda de la Audiencia Provincial de Huelva, motivada en que la eventual irregularidad de las intervenciones telefónicas sería indiferente porque el juzgador no funda en ellas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solicita se anulen las resoluciones recurridas por vulneración del derecho al secreto en las comunicaciones, ya que las intervenciones telefónicas no cumplen con el necesario deber de motivación y de control judicial, ni el principio de proporcionalidad. Igualmente se aduce vulneración del derecho a la presunción de inocencia, ya que la nulidad de las intervenciones conlleva la inexistencia de prueba de cargo bastante para fundamentar la declaración de responsabilidad penal. Mediante otrosí se solicita la suspensión de la ejecución de la Sentencia, habida cuenta de que su ejecución haría perder toda la finalidad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sendas providencias de 11 de diciembre de 2003, acordó, respectivamente, la admisión a trámite de la demanda de amparo y la formación de pieza separada para la tramitación del incidente sobre la suspensión solicitada, concediendo a la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efectuaron sus alegaciones mediante escrito registrado el 17 de diciembre de 2003, insistiendo en que la no suspensión les causaría un perjuicio irreparable, perdiendo toda efectividad el recurso de amparo. </w:t>
      </w:r>
    </w:p>
    <w:p w:rsidRPr="00C21FFE" w:rsidR="00AD51A7" w:rsidRDefault="00AD51A7">
      <w:pPr>
        <w:rPr/>
      </w:pPr>
      <w:r w:rsidRPr="&lt;w:rPr xmlns:w=&quot;http://schemas.openxmlformats.org/wordprocessingml/2006/main&quot;&gt;&lt;w:lang w:val=&quot;es-ES_tradnl&quot; /&gt;&lt;/w:rPr&gt;">
        <w:rPr/>
        <w:t xml:space="preserve">El Fiscal ante el Tribunal Constitucional evacuó el trámite conferido mediante escrito registrado el 17 de diciembre de 2003, considerando que procedería acordar la suspensión en lo relativo a la pena principal de prisión y su accesoria de inhabilitación, que debe seguir a la anterior, ya que se trata de una pena por delito menos grave y los actores carecen de antecedentes penales, por lo que su cumplimiento podría causarles perjuicios irreparables. En relación con el pago de la multa, la indemnización y las costas, por su carácter económico y susceptibilidad de reparación, considera no deben ser suspendidas.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(por todos, AATC 99/2002, de 5 de junio, FJ 1; 221/2002, de 11 de noviembre, FJ 2; 9/2003, de 9 de enero, FJ 1 o 26/2003, de 28 de enero, FJ 1)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 (por todos, AATC 9/2003, de 9 de enero, FJ 1 o 26/2003, de 28 de enero,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9/2003, de 9 de enero, FJ 1 o 26/2003, de 28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total de la misma, que es de un año y nueve meses,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(AATC 106/2002, de 17 de junio, FJ 2 y 164/2002, FJ 2).</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del derecho de sufragio pasivo, pues, como recuerda el Ministerio Fiscal, conforme a nuestra Jurisprudencia las penas accesorias han de seguir en principio la misma suerte que la principal (por todos, AATC 9/2003, de 9 de enero, FJ 2 o 26/2003, de 28 de enero, FJ 2) y lo mismo ha de predicarse para el arresto sustitutorio en caso de impago.</w:t>
      </w:r>
    </w:p>
    <w:p w:rsidRPr="00C21FFE" w:rsidR="00AD51A7" w:rsidRDefault="00AD51A7">
      <w:pPr>
        <w:rPr/>
      </w:pPr>
      <w:r w:rsidRPr="&lt;w:rPr xmlns:w=&quot;http://schemas.openxmlformats.org/wordprocessingml/2006/main&quot;&gt;&lt;w:lang w:val=&quot;es-ES_tradnl&quot; /&gt;&lt;/w:rPr&gt;">
        <w:rPr/>
        <w:t xml:space="preserve">No procede, sin embargo,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(ATC 164/2002, FJ 2 y las numerosas resoluciones allí citadas); ello es aplicable a la multa, las costas e indemnizaciones, así como al comiso.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Segunda de la Audiencia Provincial de Huelva de 18 de abril de 2002, exclusivamente en lo referente a la pena privativa de libertad, a la accesoria de inhabilitación especial del derecho de</w:t>
      </w:r>
    </w:p>
    <w:p w:rsidRPr="" w:rsidR="00AD51A7" w:rsidRDefault="00AD51A7">
      <w:pPr>
        <w:rPr/>
      </w:pPr>
      <w:r w:rsidRPr="&lt;w:rPr xmlns:w=&quot;http://schemas.openxmlformats.org/wordprocessingml/2006/main&quot;&gt;&lt;w:szCs w:val=&quot;24&quot; /&gt;&lt;/w:rPr&gt;">
        <w:rPr/>
        <w:t xml:space="preserve">sufragio pasivo durante el tiempo de la condena y, en su caso, el arresto sustitutorio.</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