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369</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4 de octubre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4132-2003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4132-2003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dar lugar a la suspensión solicitada respecto de la ejecución de la reseñada Sentencia de 29 de mayo de 2003, de la Sección Tercera de la Audiencia Provincial de Almería.  Notifíquese a la parte recurrente y al Ministerio Fiscal.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24 de junio de 2003 el Procurador de los Tribunales don Javier Lorente Zurdo, en nombre de doña María Isabel Fernández Romero y doña Antonia Fernández Romero, formuló demanda de amparo constitucional contra la Sentencia de 29 de mayo de 2003 dictada por la Audiencia Provincial de Almería (Sección Tercera) en recurso de apelación contra Sentencia dictada por el Juzgado de lo Penal núm. 1 de Almería en fecha 4 de noviembre de 2002 en procedimiento abreviado núm. 388-2003.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demanda de amparo son, sucintamente expuestos, los siguientes: El Juzgado de lo Penal núm. 1 de los de Almería dictó Sentencia de fecha 4 de noviembre de 2002 absolviendo a las demandantes de amparo de los delitos de lesiones y contra la Administración pública de que se les acusó, con costas de oficio. El Juzgador consideró que se encontraba ante un caso de versiones contradictorias. Interpuesto recurso de apelación por el Ministerio Fiscal y la acusación particular, esta última parte solicitó en su recurso la práctica de diversas pruebas testificales en la segunda instancia, que fueron rechazadas. Entre estas pruebas no se encontraban el interrogatorio de las acusadas ni la nueva declaración de la acusación particular. La Audiencia Provincial dictó Sentencia, de fecha 29 de mayo de 2003, que condenó a las ahora demandantes como autoras de un delito de lesiones, a la pena de tres meses de multa, indemnización y costas. En la Sentencia se indica que la testifical de la víctima, que se ha mantenido incólume a lo largo del procedimiento, y cuya credibilidad ha sido puesta en tela de juicio por el juzgador debido a la enemistad previa con las acusadas, es considerada sin embargo suficiente por el Tribunal como prueba inculpatoria.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queja sustancial que fundamenta la demanda de amparo se puede sintetizar en la vulneración del derecho fundamental a un proceso con todas las garantías, por cuanto no se reprodujo en la fase de apelación, ante la Audiencia Provincial, la prueba testifical practicada en la vista oral en la primera instancia, de modo que el tribunal valoró esta prueba exclusivamente en función de la referencia que se contiene en el acta del juicio oral, lo que vulneraría los principios de inmediación y contradicción. Por otrosí se solicita la suspensión de la ejecución de la pena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julio de 2004, la Sala, tras admitir a trámite el presente recurso de amparo, acordó formar la oportuna pieza para la tramitación del incidente sobre suspensión y, conforme determina el art. 56 de la Ley Orgánica de este Tribunal, conceder un plazo de tres días a la parte recurrente y al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público, mediante escrito registrado el 29 de julio de 2004, tras recoger la doctrina constitucional aplicable al caso razona que, al tratarse de una pena económica fácilmente reparable en el supuesto de estimarse el amparo, no es procedente la suspensión, y ello sin perjuicio de que en el caso de que no fuere abonada la multa impuesta y se declarare de forma subsidiaria el cumplimiento de una responsabilidad personal sustitutoria, deba procederse a la suspensión de tal penal, pues no se aprecia que acceder a la suspensión del período de privación de libertad que correspondiere imponer a tenor del art. 53 CP ocasione una lesión grave y específica del interés general, más allá de aquélla que de por sí produce la no ejecución de un fallo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las demandantes de amparo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  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 Más en concreto, en cuanto a la ejecución de las sentencias penales que condenan al pago de una multa, nuestra doctrina viene señalando (como se recuerda en los AATC 135/1999, de 31 de mayo, FJ 3, 83/2001, de 23 de abril, FJ 2 y 261/2001, de 15 de octubre, FJ 4) que la ejecución del pago de la multa no lleva consigo, como regla, la producción de perjuicios irreparables para el condenado a su cumplimiento, de tal manera que la ejecución de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  Tampoco procede, en el momento actual, la suspensión de la responsabilidad personal subsidiaria para el caso de impago de la pena de multa, pues se trata de una eventualidad futura, que de sobrevenir (por falta de abono voluntario o en vía de apremio) podría dar lugar a la modificación de la medida cautelar que ahora se adopta en virtud de lo establecido en el art. 57 LOTC (AATC 107/1998, 136/1999, 227/1999, 245/1999, 61/2000, 41/2002, 362/2003, 409/2003).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dar lugar a la suspensión solicitada respecto de la ejecución de la reseñada Sentencia de 29 de mayo de 2003, de la Sección Tercera de la Audiencia Provincial de Almería.  Notifíquese a la parte recurrente y al Ministerio Fiscal.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