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8457-2006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8457-2006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dictada por la Sección Primera de la Audiencia Provincial de Madrid, de 6 de julio de 2006, exclusivamente en lo referente a la pena privativa de libertad de dos años de prisión y a la accesoria legal de</w:t>
            </w:r>
          </w:p>
          <w:p w:rsidRPr="00D13423" w:rsidR="00AD51A7" w:rsidRDefault="00AD51A7">
            <w:pPr>
              <w:rPr/>
            </w:pPr>
            <w:r w:rsidRPr="&lt;w:rPr xmlns:w=&quot;http://schemas.openxmlformats.org/wordprocessingml/2006/main&quot;&gt;&lt;w:color w:val=&quot;800080&quot; /&gt;&lt;w:szCs w:val=&quot;24&quot; /&gt;&lt;/w:rPr&gt;">
              <w:rPr/>
              <w:t xml:space="preserve">inhabilitación especial para el ejercicio del derecho de sufragio pasivo.</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se septiembre de 2006, don Ignacio Orozco García, Procurador de los Tribunales, y de don Abdelilah Aziar,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del Juzgado de lo Penal núm. 16 de Madrid se absolvió al ahora demandante de amparo del delito contra la salud pública del que venía siendo acusado. </w:t>
      </w:r>
    </w:p>
    <w:p w:rsidRPr="00C21FFE" w:rsidR="00AD51A7" w:rsidRDefault="00AD51A7">
      <w:pPr>
        <w:rPr/>
      </w:pPr>
      <w:r w:rsidRPr="&lt;w:rPr xmlns:w=&quot;http://schemas.openxmlformats.org/wordprocessingml/2006/main&quot;&gt;&lt;w:lang w:val=&quot;es-ES_tradnl&quot; /&gt;&lt;/w:rPr&gt;">
        <w:rPr/>
        <w:t xml:space="preserve">b) Interpuesto recurso de apelación contra la anterior resolución, el mismo fue estimado por Sentencia de la Sección Primera de la Audiencia Provincial de Madrid, de 6 de julio de 2006, que revocando la sentencia absolutoria de instancia, le condenó como autor de un delito contra la salud pública, con la agravante de reincidencia, a la pena de dos años de prisión e inhabilitación especial para el ejercicio del derecho de sufragio pasivo durante el tiempo de la condena, así como al pago de una multa de 150 euros y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a un proceso con todas las garantías, en relación con los principios de inmediación y contradicción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se solicita se deje en suspenso la ejecución de la sentencia condenatoria, destacando que la pena impuesta es de dos años de prisión, de los que ya ha cumplido casi la cuarta parte, pues estuvo cinco meses en prisión provisional, por lo que de no accederse a la suspensión se causaría un perjuicio irreparable en su libertad,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octubre de 2007, la Sección Segunda de este Tribunal acordó la admisión a trámite de la demanda. </w:t>
      </w:r>
    </w:p>
    <w:p w:rsidRPr="00C21FFE" w:rsidR="00AD51A7" w:rsidRDefault="00AD51A7">
      <w:pPr>
        <w:rPr/>
      </w:pPr>
      <w:r w:rsidRPr="&lt;w:rPr xmlns:w=&quot;http://schemas.openxmlformats.org/wordprocessingml/2006/main&quot;&gt;&lt;w:lang w:val=&quot;es-ES_tradnl&quot; /&gt;&lt;/w:rPr&gt;">
        <w:rPr/>
        <w:t xml:space="preserve">Mediante otra providencia de la misma fecha, la citada Sección acordó formar la correspondiente pieza separada de suspensión y, de conformidad con lo previsto en el artículo 56 LOTC, conceder un plazo común de tres días al Ministerio Fiscal y a la parte recurrente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15 de octubre de 2007 realizó sus alegaciones el demandante de amparo, quien reitera la solicitud de suspensión, sobre la base de los mismos argumentos ya expuestos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24 de octubre de 2007 se registró en este Tribunal el escrito de alegaciones del Ministerio Fiscal, que interesa la estimación de la solicitud de suspensión de la pena privativa de libertad de dos años de prisión y de la accesoria legal de inhabilitación para el ejercicio del derecho de sufragio pasivo. </w:t>
      </w:r>
    </w:p>
    <w:p w:rsidRPr="00C21FFE" w:rsidR="00AD51A7" w:rsidRDefault="00AD51A7">
      <w:pPr>
        <w:rPr/>
      </w:pPr>
      <w:r w:rsidRPr="&lt;w:rPr xmlns:w=&quot;http://schemas.openxmlformats.org/wordprocessingml/2006/main&quot;&gt;&lt;w:lang w:val=&quot;es-ES_tradnl&quot; /&gt;&lt;/w:rPr&gt;">
        <w:rPr/>
        <w:t xml:space="preserve">Tras recordar nuestra doctrina en materia de suspensión, destaca el Fiscal que nos encontramos ante una pena de prisión de corta duración (dos años), que estaría comprendida dentro de la posible duración de la tramitación del presente recurso de amparo, por lo que no acceder a la suspensión ocasionaría un perjuicio irreparable que haría perder al amparo su finalidad. Por otra parte, y en atención a las restantes circunstancias del caso, no se constata una particular afectación de los intereses generales, ni de los derechos de terceros derivada de la no ejecución del fallo. </w:t>
      </w:r>
    </w:p>
    <w:p w:rsidRPr="00C21FFE" w:rsidR="00AD51A7" w:rsidRDefault="00AD51A7">
      <w:pPr>
        <w:rPr/>
      </w:pPr>
      <w:r w:rsidRPr="&lt;w:rPr xmlns:w=&quot;http://schemas.openxmlformats.org/wordprocessingml/2006/main&quot;&gt;&lt;w:lang w:val=&quot;es-ES_tradnl&quot; /&gt;&lt;/w:rPr&gt;">
        <w:rPr/>
        <w:t xml:space="preserve">La suspensión ha de alcanzar tanto a la pena privativa de libertad, como a la accesoria legal, pero no a la pena de multa, ni a la condena en costas, al tratarse de pronunciamientos de naturaleza económica y susceptibles de reparación mediante la devolución de lo abonado. Tampoco procedería en este momento pronunciarse sobre la suspensión de la responsabilidad personal subsidiaria en caso de impago de la multa, por tratarse de una mera eventualidad incierta, que depende de que efectivamente la multa no llegue a ser abonada, pudiendo en tal caso modificarse la medida cautelar que ahora se adopta.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vigente en el momento de presentarse la demanda de amparo, anterior a la establecida por la Ley Orgánica 6/2007, de 24 de mayo—,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(por todos, AATC 263/2005, de 20 de junio, FJ 1; 369/2005, de 24 de octubre, FJ 1; 214/2007, de 16 de abril, FJ 1; 287/2007, de 18 de junio, FJ 1; 348/2007,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(AATC 235/2005, de 6 de junio, FJ 1; 63/2007, de 26 de febrero, FJ 2; 336/2007, de 18 de julio, FJ 1, entre otros muchos). Por el contrario, entiende procedente acordarla en aquellos otros que afectan a bienes o derechos del recurrente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las resoluciones cuya ejecución afecte a la libertad, pues el art. 56 LOTC responde a la necesidad de mantener un equilibrio entre los intereses del recurrente, los generales de la sociedad y los derechos de terceros (AATC 369/2005, de 24 de octubre, FJ 2; 214/2007, de 16 de abril, FJ 2; 287/2007, de 18 de junio, FJ 2).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9/2003, de 20 de enero, FJ 1; 369/2005, de 24 de octubre, FJ 2; 214/2007, de 16 de abril, FJ 2; 287/2007, de 18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nos lleva a declarar, tras ponderar los intereses en juego, en primer término, la procedencia de la suspensión de la ejecución de la pena privativa de libertad impuesta, pues si se compara la duración de la misma (dos años), ha de concluirse que no suspender su ejecución ocasionaría un perjuicio irreparable, que cuestionaría la eficacia de un eventual fallo estimatorio. Por otro lado, atendidas las demás circunstancias concurrentes en el caso no se aprecia —como pone de relieve el Ministerio Fiscal— que acceder a la suspensión solicitada ocasione una lesión específica y grave del interés general, más allá de aquélla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inhabilitación especial para el ejercicio del derecho de sufragio pasivo legalmente impuesta, pues las penas accesorias han de seguir la misma suerte que la principal (AATC 131/2001, de 22 de mayo, FJ 2; y 408/2005, de 21 de noviembre, FJ 2; 80/2006, de 13 de marzo, FJ 2, entre otros muchos).</w:t>
      </w:r>
    </w:p>
    <w:p w:rsidRPr="00C21FFE" w:rsidR="00AD51A7" w:rsidRDefault="00AD51A7">
      <w:pPr>
        <w:rPr/>
      </w:pPr>
      <w:r w:rsidRPr="&lt;w:rPr xmlns:w=&quot;http://schemas.openxmlformats.org/wordprocessingml/2006/main&quot;&gt;&lt;w:lang w:val=&quot;es-ES_tradnl&quot; /&gt;&lt;/w:rPr&gt;">
        <w:rPr/>
        <w:t xml:space="preserve">Por lo que se refiere a los pronunciamientos de contenido patrimonial —pena de multa y costas procesales—, de conformidad con el criterio de este Tribunal, al tratarse de condenas de contenido económico, los perjuicios anejos a su ejecución son perfectamente reparables en caso de estimarse el amparo, por lo que no procede acceder a la suspensión respecto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 la Sentencia dictada por la Sección Primera de la Audiencia Provincial de Madrid, de 6 de julio de 2006, exclusivamente en lo referente a la pena privativa de libertad de dos años de prisión y a la accesoria legal de</w:t>
      </w:r>
    </w:p>
    <w:p w:rsidRPr="" w:rsidR="00AD51A7" w:rsidRDefault="00AD51A7">
      <w:pPr>
        <w:rPr/>
      </w:pPr>
      <w:r w:rsidRPr="&lt;w:rPr xmlns:w=&quot;http://schemas.openxmlformats.org/wordprocessingml/2006/main&quot;&gt;&lt;w:szCs w:val=&quot;24&quot; /&gt;&lt;/w:rPr&gt;">
        <w:rPr/>
        <w:t xml:space="preserve">inhabilitación especial para el ejercicio del derecho de sufragio pasivo.</w:t>
      </w:r>
    </w:p>
    <w:p w:rsidRPr="" w:rsidR="00AD51A7" w:rsidRDefault="00AD51A7">
      <w:pPr>
        <w:rPr/>
      </w:pPr>
      <w:r w:rsidRPr="&lt;w:rPr xmlns:w=&quot;http://schemas.openxmlformats.org/wordprocessingml/2006/main&quot;&gt;&lt;w:szCs w:val=&quot;24&quot; /&gt;&lt;/w:rPr&gt;">
        <w:rPr/>
        <w:t xml:space="preserve">2.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