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5094-2006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5094-2006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septiembre de 2006 se presentó en el Registro General de este Tribunal un recurso de amparo interpuesto por doña Ainara Fresneda Echeverría contra providencia de Sección 1ª de la Sala de lo Penal de la Audiencia Nacional, de 31 de enero de 2006, por la que se aprobaba la liquidación de la condena de cinco años de prisión y multa de 18 meses, impuesta a la demandante en Sentencia de la propia Sala de 21 de diciembre de 2004, así como Auto de 29 de marzo de 2006 que desestimó el recurso de súplica deducido contra aquella providencia. La impugnación en vía judicial se centró en si resultaba procedente o no la imposición de nueve meses de responsabilidad personal subsidiaria por impago de la multa impuesta. </w:t>
      </w:r>
    </w:p>
    <w:p w:rsidRPr="00C21FFE" w:rsidR="00AD51A7" w:rsidRDefault="00AD51A7">
      <w:pPr>
        <w:rPr/>
      </w:pPr>
      <w:r w:rsidRPr="&lt;w:rPr xmlns:w=&quot;http://schemas.openxmlformats.org/wordprocessingml/2006/main&quot;&gt;&lt;w:lang w:val=&quot;es-ES_tradnl&quot; /&gt;&lt;/w:rPr&gt;">
        <w:rPr/>
        <w:t xml:space="preserve">En la demanda de amparo, mediante otrosí, se solicitaba la suspensión de la ejecución de la resolución impugnada en lo que se refiere a nueve meses de responsabilidad subsidiaria por impago de multa, basándose tal solicitud en que el cumplimiento de los indicados nueve meses de responsabilidad personal subsidiaria causaría un perjuicio que resultaría irreparable si llegara a otorgarse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13 de diciembre de 2007 la Sala Segunda de este Tribunal acordó admitir a trámite la demanda de amparo y formar la oportuna pieza de suspensión, dando audiencia al demandante y al Ministerio público para que, en el plazo común de tres días, pudieran alegar lo que estimasen conveniente en relación con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27 de diciembre de 2007 la representación procesal de la demandante de amparo solicitó la suspensión, razonando que, de no accederse a ello, la pena de nueve meses impuesta por impago de la multa a la que fue condenada se habría cumplido en su integridad y que, en consecuencia, la Sentencia que estimara la demanda habría perdido su efectividad. Por el contrario la suspensión del cumplimiento de los nueve meses de prisión no causaría perjuicios al interés público, toda vez que, si la Sentencia desestimase la demanda de amparo, siempre podría acordarse el cumplimiento de los nueve meses de responsabilidad personal por impago de la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postula la denegación de la suspensión solicitada. Tras recoger la doctrina constitucional en la materia razona que, pese a que la duración de la pena (inferior a los cinco años por debajo de los cuales suele concederse la suspensión) no sea larga, lo cierto es que forma parte de la liquidación de condena junto a la pena de cinco años impuesta en la misma Sentencia, razón por la cual no se extinguirá sino en conjunto, estando prevista tal extinción para el día 19 de marzo de 2011. Tal circunstancia, junto con la gravedad de los hechos por los que la demandante de amparo fue condenada (colaboración con organización terrorista), le llevan a solicitar la desestimación de la solicitud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56.2 LOTC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aplicación del art. 56.1 LOTC, en gran parte similar en su redacción a la reciente reforma de la Ley Orgánica 6/2007,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 como sucede de ordinario con las resoluciones judiciales que condenan al pago de una determinada cantidad (entre otros muchos, AATC 293/2001, de 26 de noviembre; 211/2004, de 2 junio; 149/2006, de 8 de mayo; 460/2006, de 18 de diciembre).</w:t>
      </w:r>
    </w:p>
    <w:p w:rsidRPr="00C21FFE" w:rsidR="00AD51A7" w:rsidRDefault="00AD51A7">
      <w:pPr>
        <w:rPr/>
      </w:pPr>
      <w:r w:rsidRPr="&lt;w:rPr xmlns:w=&quot;http://schemas.openxmlformats.org/wordprocessingml/2006/main&quot;&gt;&lt;w:lang w:val=&quot;es-ES_tradnl&quot; /&gt;&lt;/w:rPr&gt;">
        <w:rPr/>
        <w:t xml:space="preserve">Cuando de la suspensión de la ejecución de condenas penales se trata la evaluación de la gravedad de la perturbación que para el interés general tiene la suspensión de la ejecución de una pena constituye un juicio complejo dependiente de diversos factores,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sometido a nuestra consideración la suspensión que se interesa por la demandante de amparo afecta exclusivamente a los nueve meses de responsabilidad subsidiaria por impago de multa. Ahora bien, los indicados nueve meses de prisión acompañan a la pena de cinco años impuesta en la misma Sentencia, cuyo cumplimiento está previsto para el 19 de marzo de 2011, razón por la cual resulta patente que la eventual estimación del recurso de amparo se habría de producir en un momento en el que no se habría empezado a cumplir la indicada pena de nueve meses impuesta por impago de la multa a la que principalmente fue condenada la demandante. En consecuencia la efectividad del recurso de amparo no se ve en peligro por la ejecución de la resolución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