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11574-2006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11574-2006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pérdida de objeto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26 de diciembre de 2006, don Luis María Carreras de Egaña, Procurador de los Tribunales, en nombre y representación de doña Tatsiana Klimko, interpuso recurso de amparo contra el Auto de 14 de noviembre de 2006 del Juzgado de lo Contencioso-Administrativo núm. 11 de Madrid que desestimaba el recurso de súplica interpuesto frente a la providencia de señalamiento de vista en el procedimiento abreviado núm. 754-2006, sobre caducidad de expediente de expulsión, alegando que con el señalamiento de la vista para el día 24 de abril de 2008, se vulneraba su derecho a no padecer dilaciones indebidas,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Solicitado testimonio de las actuaciones judiciales del procedimiento contencioso-administrativo, el Juzgado de lo Contencioso-Administrativo núm. 3 de Madrid remitió copia del Auto dictado el 9 de julio de 2007 por el que se declaraba terminado el proceso, puesto que, tratándose de una impugnación relativa a un expediente de expulsión y constatada la satisfacción extraprocesal de la pretensión, procedía, oídas las partes, dar por terminado lo actuado.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mediante providencia de 14 de marzo de 2008, acordó dar un plazo de alegaciones a las partes y al Ministerio Fiscal para que alegaran en relación a la posible pérdida de objeto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ha manifestado su conformidad con la declaración de pérdida de objeto del recurso, mediante escrito de 10 de abril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registrado en fecha 23 de mayo de 2008. Considera el Ministerio Fiscal que el recurso ha perdido objeto, conforme a la doctrina del Tribunal, al haber existido satisfacción extraprocesal de la pretensión ejercitada en la vía judicial, por lo que procede el archivo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reiterada doctrina de este Tribunal la desaparición sobrevenida del objeto es una de las formas de terminación de los distintos procesos constitucionales, entre ellos el recurso de amparo, puesto que circunstancias acaecidas con</w:t>
      </w:r>
    </w:p>
    <w:p w:rsidRPr="00C21FFE" w:rsidR="00AD51A7" w:rsidRDefault="00AD51A7">
      <w:pPr>
        <w:rPr/>
      </w:pPr>
      <w:r w:rsidRPr="&lt;w:rPr xmlns:w=&quot;http://schemas.openxmlformats.org/wordprocessingml/2006/main&quot;&gt;&lt;w:lang w:val=&quot;es-ES_tradnl&quot; /&gt;&lt;/w:rPr&gt;">
        <w:rPr/>
        <w:t xml:space="preserve">posterioridad a la presentación de la demanda pueden hacer innecesario un pronunciamiento del Tribunal Constitucional (STC 305/2000, de 11 de diciembre, FJ 9; y AATC 43/1985, de 23 de enero; 189/1997, de 3 de junio; 139/1998, de 16 de junio; y 243/2007,</w:t>
      </w:r>
    </w:p>
    <w:p w:rsidRPr="00C21FFE" w:rsidR="00AD51A7" w:rsidRDefault="00AD51A7">
      <w:pPr>
        <w:rPr/>
      </w:pPr>
      <w:r w:rsidRPr="&lt;w:rPr xmlns:w=&quot;http://schemas.openxmlformats.org/wordprocessingml/2006/main&quot;&gt;&lt;w:lang w:val=&quot;es-ES_tradnl&quot; /&gt;&lt;/w:rPr&gt;">
        <w:rPr/>
        <w:t xml:space="preserve">de 21 de mayo, por todos), debiendo ser distinguida de la propia inexistencia originaria del objeto (SSTC 300/1993, de 20 de octubre, FJ 3; y 305/2000, citada, FJ 9).</w:t>
      </w:r>
    </w:p>
    <w:p w:rsidRPr="00C21FFE" w:rsidR="00AD51A7" w:rsidRDefault="00AD51A7">
      <w:pPr>
        <w:rPr/>
      </w:pPr>
      <w:r w:rsidRPr="&lt;w:rPr xmlns:w=&quot;http://schemas.openxmlformats.org/wordprocessingml/2006/main&quot;&gt;&lt;w:lang w:val=&quot;es-ES_tradnl&quot; /&gt;&lt;/w:rPr&gt;">
        <w:rPr/>
        <w:t xml:space="preserve">En este sentido, aunque es cierto que nuestra Ley Orgánica no contempla la satisfacción extraprocesal de la pretensión como una causa extraordinaria de terminación del proceso de amparo, no resulta menos cierto, sin embargo,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extraprocesalmente, no cabe sino concluir, en principio, que el amparo impetrado carece desde ese momento de objeto sobre el que deba pronunciarse este Tribunal (por todos, ATC 439/2007, de 26 de noviembre). Y ello, naturalmente, tanto en aquellos supuestos en los que la denunciada lesión de los derechos constitucionales hubiese arrancado de un acto de la Administración pública como también en aquellas otras ocasiones en que las eventuales lesiones de los derechos fundamentales tuviesen su causa directa e inmediata en decisiones de los órganos del Poder Judicial (STC 203/2000, de 24 de julio, FJ 2, y las resoluciones allí citadas).</w:t>
      </w:r>
    </w:p>
    <w:p w:rsidRPr="00C21FFE" w:rsidR="00AD51A7" w:rsidRDefault="00AD51A7">
      <w:pPr>
        <w:rPr/>
      </w:pPr>
      <w:r w:rsidRPr="&lt;w:rPr xmlns:w=&quot;http://schemas.openxmlformats.org/wordprocessingml/2006/main&quot;&gt;&lt;w:lang w:val=&quot;es-ES_tradnl&quot; /&gt;&lt;/w:rPr&gt;">
        <w:rPr/>
        <w:t xml:space="preserve">Del análisis de la documentación obrante en autos se desprende que con el Auto dictado en la vía judicial de 9 de julio de 2007, dando por terminado el proceso contencioso-administrativo por satisfacción extraprocesal de la pretensión en él ejercitada, ha quedado sin efecto, por tanto, el señalamiento de la vista del procedimiento abreviado para el día 24 de abril de 2008, origen de la queja sobre dilaciones indebidas que ha fundamentado el presente recurso de amparo; por ello, procede, de conformidad con lo dispuesto en los arts. 80 y 86.1 LOTC, en relación con el art. 22 de la Ley de enjuiciamiento civil, declarar la perdida de objeto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pérdida de objeto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