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1524-2002, planteada por la Sección Primera de la Sala de lo Contencioso-Administrativo de la Audiencia Nacional respecto de la disposición adicional vigésima tercera de la Ley 24/2001, de 27 de diciembre, de medidas fiscales, administrativas y del orden social. Han intervenido el Fiscal General del Estado y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marzo de 2002 tuvo entrada en el Registro General de este Tribunal escrito de la Sección Primera de la Sala de lo Contencioso-Administrativo de la Audiencia Nacional al que se acompaña, junto al testimonio de las actuaciones del procedimiento ordinario núm. 16.250-1985, el Auto de 22 de febrero de 2002 del referido órgano judicial, por el que se acuerda plantear cuestión de inconstitucionalidad respecto de la disposición adicional vigésima tercera, “pago de subvenciones a partidos políticos”, de la Ley 24/2001, de 27 de diciembre, de medidas fiscales, administrativas y del orden social, por su posible contradicción con el art. 81.1 CE, al modificar mediante ley ordinaria materias objeto de ley orgánica, con el art. 9.3 CE al establecer la retroactividad de la norma con afección del principio de seguridad jurídica, y con el art. 24.1 CE en relación con los arts. 33.3, 117.3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en el procedimiento de ejecución de la Sentencia de la Sección Primera de la Sala de lo Contencioso-Administrativo de la Audiencia Nacional de 10 de febrero de 1988, que estimó la pretensión de la agrupación de electores Herri Batasuna de que se le abonara la cantidad de 4.339.765 pesetas, más los intereses legales, en concepto de subvención por los gastos derivados de las elecciones generales celebradas el 28 de octubre de 1982 en la provincia de Guipúzcoa. Frente a la alegación del Abogado del Estado de que la no adquisición de la plena condición de Diputado por la negativa a acatar la Constitución privaba a los recurrentes del derecho a obtener las subvenciones devengadas en el período electoral, la Sala que ahora eleva la cuestión consideró entonces que el requisito para la percepción de dichas subvenciones era la simple participación en el proceso electoral y la obtención de escaño, resultando jurídicamente indiferente la actitud ulterior de quienes resultaron elegidos Diputados cuando no prestasen el oportuno juramento o promesa de acatamiento a la Constitución. Lo razonaba en que las subvenciones electorales se destinan a subvenir los gastos electorales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Sentencia el Abogado del Estado interpuso recurso de apelación que fue desestimado por Sentencia de 23 de octubre de 1990 de la Sección Octava de la Sala Tercera del Tribunal Supremo que confirmó la de la Audiencia Nacional en todos sus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por la agrupación de electores Herri Batasuna en escrito de 22 de abril de 1991 la ejecución de la Sentencia, la Sala de lo Contencioso-Administrativo de la Audiencia Nacional, mediante providencia de 7 de junio de 1991, acordó dirigirse al Ministerio del Interior para que en el plazo de veinte días comunicara las medidas adoptadas para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 de diciembre de 1991, la representación legal de la citada agrupación de electores presentó un escrito en el que daba noticia de la puesta a su disposición del principal de 4.339.765 pesetas en su cuenta bancaria y solicitaba la determinación de intereses devengados, reclamando su abono. Ante la oposición del Abogado del Estado, en tanto se determinan los intereses, la representación actora comunica el 21 de enero de 1992 que no se ha podido cobrar el principal ni los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11 de febrero de 1993 la Sección emplaza al Ministerio del interior a fin de que explique lo ocurrido. El 29 de septiembre de 1993, ante el silencio de la Administración, se reitera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24 de noviembre de 1994 la Sección Primera de la Sala de lo Contencioso-Administrativo de la Audiencia Nacional requiere “por última vez al Ministerio del Interior para que en el plazo de diez días proceda a la ejecución de la Sentencia, con petición de informe acerca de la identidad del funcionario responsable de la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Señalada la necesidad de una nueva liquidación de intereses a causa del retraso sufrido en la ejecución, el 26 de julio de 1996 la misma Sección otorga un “último plazo de diez días al Ministerio del Interior a fin de que presente la liquidación interesada”. Por nueva providencia de 27 de noviembre de 1996 se confiere un plazo de dos meses para que se proceda “a la pura y completa ejecución de la Sentencia”, advirtiendo que transcurrido el mismo se procederá al cumplimiento de lo establecido en el art. 110.3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diversas resoluciones de los años 1997, 1998 y 1999 se insta nuevamente a la Administración a que informe del estado de la liquidación, sin recibir respuesta concluyente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29 de junio de 2000 se oficia al Ministerio del Interior “para que proceda en el plazo máximo de quince días a hacer efectivo el capital e intereses, con apercibimiento de deducir testimonio a los efectos que procedan, ello sin dar lugar a nuevos requerimientos”.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25 de octubre de 2000 de la Sección Primera de la Sala de lo Contencioso-Administrativo de la Audiencia Nacional se requirió al Subsecretario del Ministerio del Interior para que en el plazo improrrogable de un mes proceda a la completa ejecución de la Sentencia, con expreso apercibimiento de que en otro caso le sería impuesta multa coercitiva y se deduciría testimonio de particulares para exigir la responsabilidad que procediese por delito de desobediencia. Frente a ello, el Abogado del Estado presentó escrito sometiendo a la Sala ciertas dificultades que presentaba la ejecución de la Sentencia. La petición fue resuelta por Auto de 28 de febrero de 2001 que mantenía el requerimiento anterior y fijaba la manera de cumplir la Sentencia mediante la entrega de la indemnización fijada, más los intereses en determinada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6 de septiembre de 2001, la Sección Primera de la Sala de lo Contencioso-Administrativo de la Audiencia Nacional requirió a la Subsecretaría del Ministerio del Interior para que en el plazo de diez días informara sobre las diligencias llevadas a cabo en orden al cumplimiento de lo acordado en el Auto anterior. Fue respondida por diversos escritos comunicando que se había procedido a iniciar los trámites para el abono de las cantidades debidas, si bien al no haberse producido el mismo, el 20 de diciembre de 2001 la Sección Primera de la Sala de lo Contencioso-Administrativo de la Audiencia Nacional dictó Auto por el que se impuso a la Excma. Sra. Subsecretaría del Ministerio del Interior multa de 50.000 pesetas, requiriéndola nuevamente a que procediera a dar cumplimiento a la Sentencia, advirtiéndole de que en su caso podría procederse a la imposición de una nueva multa. El Auto fue recurrido en súplica, y el recurso resultó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4 de enero de 2002 el Abogado del Estado presentó ante la Audiencia Nacional escrito en el que daba cuenta de la publicación en el “Boletín Oficial del Estado” de 31 de diciembre de 2001 de la Ley 24/2001, de 27 de diciembre, de medidas fiscales, administrativas y del orden social, cuya disposición adicional vigésima tercera, dedicada al “pago de subvenciones a partidos políticos”, hacía imposible la ejecución de la Sentencia, por lo que solicitaba su suspensión al amparo del art. 105.2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 la Audiencia Nacional consideró que el citado precepto pudiera contravenir varios preceptos de la Constitución, por lo que, en aplicación del art. 35 de la Ley Orgánica del Tribunal Constitucional (LOTC), abrió un plazo para que las partes y el Ministerio Fiscal pudieran alegar al respecto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sucesión procesal de la agrupación de electores formuló sus alegaciones señalando en primer lugar que la norma cuya validez debe discutirse no es la disposición adicional reseñada, en su globalidad, sino tan sólo en su apartado primero. Considera, sin embargo, que de todas formas la norma no es aplicable al caso. Lo funda en que el precepto cuestionado no establece sus efectos retroactivos ni éstos pueden deducirse de la disposición transitoria sexta de la Ley de enjuiciamiento civil por no tratarse de un supuesto de ejecución forzosa. La norma, a su entender, sólo puede referirse a resoluciones judiciales que se dicten con posterioridad a su entrada en vigor. En todo caso cree que sería constitucionalmente ilegítima una interpretación de la norma que conllevara su incidencia en efectos jurídicos ya producidos. Expone también que no cabe centrar el debate procesal en si la subvención se devengó o no pese a no haber tomado posesión los electos, pues eso supondría retomar el debate central del procedimiento previo, en contra del principio de cosa juzgada. Con carácter subsidiario considera que la norma, aun no siendo aplicable, vulnera el art. 81 CE al regular mediante ley ordinaria materias objeto de ley orgánica, esencialmente el derecho de participación política y el art. 24.1 en cuanto la ejecución de las Sentencias forma parte del derecho fundamental a la tutela judicial efectiva. También argumenta que se lesiona el art. 33 CE dado el carácter expropiatorio de la norma, que no incluye la correspondiente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rechaza la inconstitucionalidad de la norma señalando que ningún precepto constitucional establece que la materia deba ser regulada por ley orgánica. Entiende que no hay expropiación pues se trata de una subvención pública que puede restringirse libremente. Niega también que tenga carácter retroactivo constitucionalmente vedado. El Fiscal, en sus alegaciones, sin prejuzgar sobre el fondo de la cuestión consideró oportuno el planteamiento de la cuestión por la Sala al tratarse de una norma aplicable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la Sala de lo Contencioso-Administrativo de la Audiencia Nacional, mediante Auto de 22 de febrero de 2002, acordó “plantear cuestión de inconstitucionalidad respecto de la disposición adicional vigésima tercera, ‘pago de subvenciones a partidos políticos’ de la Ley 24/2001, de 27 de diciembre, de Medidas Fiscales, Administrativas y del Orden Social, al dudarse de la constitucionalidad de la norma por las siguientes razones: A) Vulneración del art. 81.1 CE, al regular y modificar mediante ley ordinaria materias objeto de Ley Orgánica, B) Vulneración del art. 9.3 de la CE al establecerse la retroactividad de la norma con afección del principio de seguridad jurídica, C) Vulneración del art. 24.1 CE en relación con el art. 117.3, 118 y 33.3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razonamientos jurídicos de la resolución se indica que la cuestión se limita al apartado primero de la disposición reseñada. La finalidad del precepto, se indica, es la de no pagar en ningún caso subvenciones devengadas o que se devenguen a las formaciones que no justifiquen la adquisición por los electos pertenecientes a las mismas de la condición plena, en nuestro caso, de Diputado o Senador. Y ello aunque el devengo derive de su reconocimiento por sentencia judicial firme. Del texto del precepto se infiere que el legislador quiere excluir el pago de la subvención intemporalmente, aunque esté reconocido por Sentencia firme anterior al dictado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reserva de ley orgánica, la Sala entiende que la regulación del régimen de subvenciones de la financiación electoral constituye un elemento esencial del sistema, en cuanto contribuye a garantizar la transparencia e igualdad de concurrencia en el proceso electoral y que, por ello, debería ser regulado por ley orgánica. Se trata de una regulación que altera sustancialmente el sistema de subvención. Junto a ello considera que en cuanto se opone a lo establecido en el art. 18.2 de la Ley Orgánica del Poder Judicial (LOPJ) también queda sometido a la indicada reserva. En efecto, la Sala considera que dicho artículo regula la ejecución de sentencias, que forma parte del derecho a la tutela judicial efectiva. Frente a ello, el precepto cuestionado no se limita a establecer una nueva causa legal de imposibilidad de ejecución, sino que además lo hace “sin indemnización alguna”, alterando la esencia del desarrollo legislativo del derecho fundamental, por lo debió tener carácter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Auto considera que el precepto podría violar el art. 9.3 CE pues si bien es cierto que el legislador goza de un amplio margen de libertad a la hora de determinar el alcance retroactivo de las leyes, también lo es que la Constitución establece ciertos límites a dicha retroactividad. En concreto, al dejar sin contenido un derecho ya consumado conforme a la normativa anterior, el nuevo precepto viene a lesionar la seguridad jurídica. Citando la doctrina de la STC 65/1987, la Sala recuerda que la Constitución prohíbe la retroactividad entendida como incidencia de la nueva ley en los efectos ya producidos de situaciones anteriores. Esta retroactividad plena lesiona el principio de seguridad jurídica conforme a las SSTC 173/1996 y 234/2001. En el caso, además, a la vista de que el objetivo de la norma se orienta al futuro, para potenciar la participación política de quienes resulten efectivamente elegidos, el órgano que plantea la cuestión de inconstitucionalidad considera que la limitación no era necesaria para la protección de intereses públicos de preferente atención ni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aborda la vulneración del art. 24.1 CE. En virtud de este precepto constitucional, puesto en relación con los arts. 117.3 y 118 CE, la obligatoriedad del cumplimiento de las resoluciones judiciales vincula a los poderes públicos de tal manera que, en aplicación del principio de exclusividad del Poder Judicial en el ejercicio de la función jurisdiccional, impide que el legislador pueda interferir en la resolución de litigios fenecidos. Con cita de la STC 73/2000, la Sala argumenta que el sacrificio de situaciones subjetivas amparadas por la cosa juzgada exige un interés legal que demande proporcionadamente tal sacrificio, lo que no se da en este caso, y exige también la garantía expropiatoria contenida en el art. 33.3 CE, prevista para la ablación tanto de la propiedad como de bienes y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7 de mayo de 2002, acordó admitir a trámite la presente cuestión de inconstitucionalidad y dar traslado de las actuaciones recibidas, conforme al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Se ordenó también la publicación de la incoación de la cuestión en el “Boletín Oficial del Estado”, lo que tuvo lugar en el “BOE” núm. 121, de 21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su Presidenta, presentado el 23 de mayo de 2002 en el Registro General de este Tribunal, se dio traslado del acuerdo de 21 de mayo de 2002 de la Mesa del Congreso de los Diputados de comunicar al Tribunal Constitucional que aun cuando no se personaría en el presente procedimiento ni formularía alegaciones ponía a su disposición cuantas actuaciones se puedan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del Senado en su reunión de 21 de mayo de 2002 acordó dar por personada a esa Cámara en el presente procedimiento y por ofrecida su colaboración a los efectos del art. 88.1 LOTC, lo que comunicó su Vicepresidente primero mediante escrito presentado en el Registro General de este Tribunal el 23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el día 31 de mayo de 2002 ante el Registro General de este Tribunal escrito de alegaciones oponiéndose a la presente cuestión de inconstitucionalidad. En el mismo comienza señalando que, delimitada la cuestión en el sentido de que se refiere al apartado primero del precepto cuestionado, no existe objeción formal alguna a su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por tanto, en el fondo comienza por exponer que, a su parecer, de la jurisprudencia constitucional no se deriva que la exigencia de ley orgánica se amplíe a cualquier norma jurídica relacionada con las elecciones sino tan sólo a aquellos extremos que son imprescindibles al propio proceso electoral y sin los cuales éste no podría ser reconocido como legítimo. Considera que las subvenciones dadas a los partidos políticos son instrumentos complementarios pero bien diferenciados del mecanismo electoral propiamente dicho, sin que su previsión ni su cuantía afecten de manera primaria y nuclear a la libertad de sufragio ni a la fidelidad de sus resultados. Si todo lo que contribuye a garantizar la igualdad en la concurrencia electoral quedara reservado a la ley orgánica, no habría materia electoral alguna que no se incluyera en tal reserva. Considera también el Abogado del Estado que del planteamiento de la Sentencia del Tribunal Supremo en el asunto de autos se desprende que la subvención constituye un crédito común para determinados gastos, desconectado de toda finalidad electoral. En cuanto a las argumentaciones del Auto relativas a la conexión entre el precepto cuestionado y el art. 18 LOPJ, el escrito señala que se remiten en realidad al derecho a la propiedad (art. 33.3 CE) y no al de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posible vulneración del art. 9.3 CE, el Abogado del Estado sostiene que el reproche de inconstitucionalidad se basa en la seguridad jurídica, de modo que se trata de indagar sobre el daño causado a los beneficiarios de la subvención en cuanto pudieron creer en la misma y decidirse, por ello, a participar en la elección. Al respecto señala que las precisiones subvencionales de los textos legales no pueden aislarse de la finalidad última perseguida por la ordenación del derecho de sufragio, que atiende a una función esencial para la organización del Estado. A la luz de las previsiones del Real Decreto-ley de 1977 y de la Ley de 1988 aplicables a las elecciones, al Abogado del Estado no le cabe duda de que nadie podría representarse la idea de que la subvención constituía un objetivo puramente compensador de unos gastos derivados de la participación en una elección, dejando de considerar que todo proceso electoral persigue un fin de ordenación e integración de las instituciones. A su juicio, el hecho de que la Audiencia Nacional y el Tribunal Supremo interpretaran después la ley en el sentido de que no era exigible tal integración no afecta en nada, pues lo importante es la previsibilidad que se desprendía del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alegaciones aborda el tercer reproche de inconstitucionalidad de la Sala y al respecto señala que el hecho de que un derecho haya sido declarado en Sentencia firme no le confiere ningún privilegio de inmunidad comparativamente con otros derechos de idéntico contenido que hayan merecido un reconocimiento espontáneo y no hayan tenido que ser ejercitados judicialmente. La santidad de la cosa juzgada excluye la modificación de lo sentenciado por la acción revisora de los tribunales pero no garantiza la permanencia del contenido del derecho frente a las innovaciones legislativas. Respecto a la supuesta desproporción entre el sacrificio impuesto al derecho del particular y el interés general, entiende que el Auto de planteamiento la hace descansar no en la relación entre el fin de la subvención y el efecto de su supresión sino en el decaimiento del fin de la subvención por el transcurso de los plazos que confirman la imposibilidad de cumplir con su fin. Por otro lado, no cabría entender propiamente que ha habido una actuación expropiatoria pues la privación de la subvención se funda en la frustración de la utilidad pública por cuya causa fue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insta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presentado en el Registro General de este Tribunal el día 11 de junio de 2002. En las mismas comienza precisando el objeto de la presente cuestión de inconstitucionalidad. Tomando en cuenta el supuesto de hecho que dio lugar a la misma, lo entiende limitado exclusivamente al primer apartado de la disposición adicional vigésima tercera de la Ley 24/2001 en lo que se refiere a las subvenciones concedidas por Sentencia firme y tan sólo a aquéllas subvenciones devengadas tras las elecciones celebradas el día 28 de octubre de 1982 para las candidaturas que hubieran adoptado la forma de agrupación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admisibilidad de la cuestión de inconstitucionalidad, el Fiscal General del Estado pone de manifiesto una primera causa de inadmisión por carencia de relevancia de la norma cuestionada para la resolución del supuesto que dio origen a la misma. En concreto señala que el proceso electoral del que trae causa el reconocimiento de las subvenciones obtenidas por la agrupación de electores Herri Batasuna se celebró en el año 1982, es decir en fecha anterior a la entrada en vigor de la Ley Orgánica del régimen electoral general y de la Ley Orgánica 3/1987 de financiación de los partidos políticos, únicas normas legales a las que hace referencia el precepto cuestionado, mientras que las elecciones generales del caso básico se rigieron por el Real Decreto-ley 20/1977. En concreto el reconocimiento de la subvención venía establecido en el art. 44.1 de dicho Real Decreto-ley, y con apoyo en dicha norma se reconoció.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escrito hace referencia como posible causa de inadmisibilidad al voto particular que acompaña al Auto de interposición de la cuestión señalando que el precepto cuestionado no establece de manera inequívoca la eficacia retroactiva de la norma cuestionada, no obstante el Fiscal General del Estado no comparte dicha interpretación y se limita a señalar la objeción apuntada.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cuestión, sostiene que el precepto cuestionado no ha vulnerado la reserva de ley orgánica, ante todo porque al haberse aplicado para conceder una norma preconstitucional, no cabe exigir retroactivamente la reserva de ley orgánica para anular sus disposiciones. En segundo término porque entiende que el devengo y reconocimiento de subvenciones no se puede reputar como elemento esencial del régimen electoral general, y en todo caso porque incluso de reputarse así, la norma no se refiere a aspectos esenciales del sistema de subvenciones, sino a aspectos complementarios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tacha de inconstitucionalidad por contradicción con el principio de seguridad jurídica del art. 9.3 CE, señala el escrito que éste implica la certeza sobre el ordenamiento jurídico aplicable y los intereses jurídicamente tutelados, si bien permite cierta discrecionalidad al legislador para regular las relaciones de convivencia humana respondiendo a la realidad de cada momento. En este punto el escrito de alegaciones considera necesario examinar si la norma ha restringido retroactivamente algún derecho individual, llegando a una conclusión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tercera duda de inconstitucionalidad, relativa a la lesión del art. 24.1 CE, el Fiscal General entiende que en ella se vienen a reunir diversas quejas formuladas como diferentes, tanto por lesión del art. 9.3 CE como del art. 18.2 LOPJ. Respecto a todo ello considera que la norma carece de efectos retroactivos pues se limita a introducir un requisito que estaba ya implícito en la legislación anterior, si bien no fue reconocido así por los Tribunales. En este sentido, entiende que de la normativa aplicable se desprende implícitamente que sólo se devenga el derecho a subvención cuando se perfecciona y ejercita efectivamente la representación parlamentaria obtenida. El escrito de alegaciones incluye en este punto una amplia serie de razonamientos en torno a la soberanía popular tal y como se plasma en la Constitución de los que concluye que el sistema democrático representativo sólo puede amparar el acto de presentarse a las elecciones cuando ulteriormente se ejercen las funciones representativas. Por todo ello, concluye que el precepto cuestionado no se ha introducido ex novo, sino que se limita a dar forma a un deber positivo preexistente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Alternativamente considera que la no concesión de una subvención, o su revocación por incumplimiento de las condiciones legales en ningún caso puede considerarse una consecuencia sancionadora. Las subvenciones son una manifestación de la actividad de fomento del Estado que depende del cumplimiento de unos requisitos legales de modo que no puede afirmarse en el supuesto ahora en cuestión la existencia de unos derechos consolidados. En todo caso señala que en la Constitución ningún derecho se configura como ilimitado, sino que pueden ceder ante otros intereses constitucionales o legalmente protegidos, con el límite siempre de la debida proporcionalidad. Para el examen de la misma hay que tener en cuenta, según el Fiscal General del Estado, el valor del pluralismo político y el mandato representativo democrático garantizado por el art. 23.1 CE. En tal sentido, la decisión de los representantes electos de la agrupación de electores en cuestión de no tomar posesión de sus escaños entraña notables perjuicios para el Estado pues impide presentarse a otras candidaturas y no justifica en absoluto la concesión de una subvención, de modo que los intereses generales deberán primar en su caso sobre la seguridad jurídica. A la vista de todo ello, el Fiscal General del Estado interesa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2011 se señaló para la deliberación y votación de la presente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Sección Primera de la Sala de lo Contencioso-Administrativo de la Audiencia Nacional respecto de la disposición adicional vigésima tercera de la Ley 24/2001, de 27 de diciembre, de medidas fiscales, administrativas y del orden social, por entender que vulnera la reserva de ley orgánica del art. 81.1 CE, la seguridad jurídica garantizada en el art. 9.3 CE y la tutela judicial efectiva del art. 24.1 CE, en su vertiente de obligatoriedad de cumplimiento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limita la duda de constitucionalidad al apartado primero del precepto,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habrá lugar al pago a los partidos políticos, federaciones, coaliciones o agrupaciones de electores, o a cualquier otra persona o entidad a las que, por cualquier título, se hubiere transmitido el crédito correspondiente, de las subvenciones devengadas o que se devenguen conforme a lo previsto en los artículos 127 de la Ley Orgánica 5/1985, de 19 de junio, de Régimen Electoral General y 3 de la Ley Orgánica 3/1987, de 2 de julio, sobre Financiación de los Partidos Políticos, mientras no se justifique la adquisición por los electos pertenecientes a dichas formaciones políticas de la condición plena de Diputado, Senador, miembro del Parlamento europeo o miembro de la correspondiente Corporación local y el ejercicio efectivo del cargo para el que hubiesen sido elegidos y por cuya elección y desempeño se hayan devengado o se devenguen las citadas subvenciones, aun cuando este devengo derive de su reconocimiento por sentencia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a que se refiere el apartado anterior constituirá, a los efectos previstos en el artículo 105 de la Ley 29/1998, de 13 de julio, reguladora de la jurisdicción contencioso-administrativa, causa de imposibilidad legal de ejecutar las sentencias que reconozcan el derecho a percibir las referidas subvenciones, sin que tal inejecución dé lugar a indemnización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abordar el fondo de la presente cuestión se hace necesario resolver la objeción de inadmisibilidad planteada por el Fiscal General del Estado consistente en la carencia de relevancia de la norma cuestionada para la resolución del supuesto que da origen a la cuestión de inconstitucionalidad. En concreto aduce que el proceso electoral del que trae causa el reconocimiento de las subvenciones en cuestión se celebró en el año 1982, por lo que le fue de aplicación el Real Decreto-ley 20/1977, de 18 de marzo, sobre normas electorales, cuyo art. 44.1 establecía el reconocimiento de la subvención. Sin embargo, el precepto legal cuestionado se refiere exclusivamente a las subvenciones concedidas conforme a la Ley Orgánica 5/1985, de 19 de junio, del régimen electoral general y a la Ley Orgánica 3/1987, de 2 de julio, sobre financiación de los partidos políticos, ninguna de las cuales resulta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llamado juicio de relevancia, estatuido por el art. 35.2 de la Ley Orgánica del Tribunal Constitucional,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A este respecto, venimos considerando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67/2002, de 21 de marzo, FJ 2; 63/2003, de 27 de marzo, FJ 2; 255/2004, de 23 de diciembre, FJ 2 y 139/2005,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de la lectura de la Sentencia de la Sección Octava de la Sala Tercera del Tribunal Supremo de fecha 23 de octubre de 1990, dictada en el procedimiento ordinario núm. 16.250-1985, se desprende sin lugar a dudas que la obligación del Estado de entregar al representante de la agrupación de electores la cantidad de 4.339.765 pesetas surge de lo dispuesto en el artículo 44 del Real Decreto-ley 20/1977. La lectura del precepto objeto de la cuestión de inconstitucionalidad evidencia, sin embargo, que sus previsiones no se refieren a cualesquiera subvenciones que reciban las entidades políticas sino a “las subvenciones devengadas o que se devenguen conforme a lo previsto en los artículos 127 de la Ley Orgánica 5/1985, de 19 de junio, de Régimen Electoral General y 3 de la Ley Orgánica 3/1987, de 2 de julio, sobre Financiación de los Partidos Políticos”. Queda así notoriamente de manifiesto que tal precepto legal no es de aplicación en el supuesto que dio lugar al planteamiento de la cuestión de inconstitucionalidad ni, puede, por tanto, ser relevante para su fallo y procede, en consecuencia, la inadmisión de la presente cuestión por incumplimiento del requisito relativo al denominado juicio de relevancia.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1524-2002, planteada por la Sección Primera de la Sala de lo Contencioso-Administrativo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