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362-2009, promovido por doña María Inmaculada Noble Goicoechea, representada por el Procurador de los Tribunales don José Javier Cuevas Rivas y asistido por la Letrada doña Ainoa Baglietto Gabilondo, contra el Auto de la Sección Segunda de la Sala de lo Penal de la Audiencia Nacional, de 20 de noviembre de 2008, que desestima el recurso de súplica contra la providencia de 27 de octubre de 2008, por la que se aprueba el licenciamiento definitivo de la penada para el día 7 de enero de 2017. Ha intervenido el Ministerio Fiscal.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8 de enero de 2009, don José Javier Cuevas Rivas, Procurador de los Tribunales, y de doña María Inmaculada Noble Goicoechea,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se encuentra cumpliendo condena en relación con cuatro causas (sumarios 3-1986, 27-1986, 7-1987 y 23-1987), acumuladas a la primera de ellas (ejecutoria 47-1991) por Auto de la Sección Segunda de la Sala de lo Penal de la Audiencia Nacional, de 27 de enero de 2003, en el que se fija en treinta años de privación de libertad el tiempo total de cumplimiento, en aplicación de la regla 2 del art. 70 del Código penal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delitos por los que fue condenada son los siguientes: En la causa 27-1986, como autora de un delito de atentado a la pena de veinte años de reclusión menor; como autora de cuatro delitos de asesinato, a la pena de veinte años de reclusión menor por cada uno; como autora de once delitos de asesinato frustrado, a la pena de doce años de prisión mayor por cada uno y como autora de un delito de terrorismo, a la pena de seis años de prisión menor. En la causa 3-1986, como autora de un delito de utilización ilegítima de vehículo de motor, a la pena de cuatro años y tres meses de prisión menor; como autora de un delito de detención ilegal, a la pena de seis años y un día de prisión mayor; como autora de un delito de atentado, a la pena de veinticuatro años de reclusión mayor. En la causa 47-1991, como autora de un delito de depósito de armas y municiones, a la pena de nueve años de prisión mayor; como autora de un delito de tenencia de explosivos, a la pena de nueve años de prisión mayor; como autora de un delito de falsificación de documentos de identidad, a la pena de un año y seis meses de prisión menor; como autora de un delito de falsedad de placa de matrícula, a la pena de un año de prisión menor; y como autora de un delito de utilización ilegítima de vehículos de motor, a la pena de tres meses de arresto mayor. Y en la causa 7-1987, como autora de un delito de atentado a la pena de veintinueve años de reclusión mayor; y como autora de dos delitos de asesinato, a la pena de veintinueve años de reclusión mayor por cada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7 de marzo de 2003, el órgano judicial aprueba una primera liquidación de condena, en la que figura como fecha de cumplimiento el día 25 de enero de 2017, sin cómputo de redenciones (redenciones: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otra providencia de 15 de octubre de 2003 se aprueba una nueva liquidación de condena, en la misma ejecutoria, en la que la fecha de cumplimiento es el día 14 de enero de 2017, al computar 11 días de prisión preventiva inicialmente no computados. No consta en dicha liquidación redención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nueva providencia de fecha 15 de octubre de 2008 aprueba una tercera liquidación de condena en la que figura como fecha de cumplimiento el día 6 de enero de 2017, como resultado de cómputo de otros ocho días de prisión preventiva. De nuevo no se computan días de redención. El día 17 de octubre de 2008, a través de una diligencia del Secretario de Justicia, se hace constar la existencia de un error en la fecha de preventiva en la anterior liquidación de condena aprobada —puesto de manifiesto por el centro penitenciario—, practicándose una nueva liquidación de condena con fecha de cumplimiento 7 de enero de 2017, sin cómputo de redenciones.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20 de octubre de 2008, el centro penitenciario de Algeciras, en el que se encuentra interna la recurrente, propuso como fecha de licenciamiento definitivo el día 29 de octubre de 2008, sin perjuicio de la aplicación del nuevo criterio del Tribunal Supremo recogido en Sentencia 197/2006, de 28 de febrero, con el cual el cumplimiento sería el día 7 de enero de 2017. Se adjunta certificado de redención (en el que consta que redime su pena por el trabajo desde el 16 de enero de 1987 y que tiene abonados un total de 2.992 días de redención) y hoja de cálculo (en la que el cómputo de las redenciones se realiza descontando los días redimidos del límite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27 de octubre de 2008, la Sección Segunda de la Sala de lo Penal de la Audiencia Nacional dictó una providencia en la que aprobaba el licenciamiento definitivo de la penada para el día 7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esta resolución se interpuso recurso de súplica, desestimado por Auto de 20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rechaza la alegada indefensión, destacando que la interesada pudo interponer los oportunos recursos en vía judicial, por lo que pudo impugnar la resolución que aprueba la liquidación de condena con la que no está de acuerdo, y que el que no se le haya dado traslado antes de dictarse la providencia recurrida de la propuesta del centro penitenciario no constituye ninguna irregularidad, pues ni existe trámite que prevea tal traslado, ni hubiera podido impugnar tal propuesta. En cuanto a las restantes vulneraciones de derechos fundamentales alegadas (seguridad jurídica, libertad, legalidad, irretroactividad de las normas e intangibilidad de las resoluciones judiciales) señala que la providencia recurrida es conforme a la doctrina del Tribunal Supremo establecida en la STS 197/2006, que reproduce parcialmente, concluyendo que esa nueva interpretación (conforme a la cual las redenciones se computan sobre la totalidad de las condenas y no sobre la pena refundida) no afecta al tope máximo de cumplimiento de treinta años fijado por Auto de 27 de enero de 2003 y que la nueva doctrina hace que el cumplimiento efectivo sea más acorde con lo establecido en dicha resolución judicial. A mayor abundamiento, se afirma que no corresponde a la Audiencia Nacional corregir al Tribunal Supremo en materia de interpretación de las normas, debiendo resolver conforme a los criterios del Alto Tribunal al ser órgano jurisdiccional superior conforme al art. 123.1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de recurso se hace constar que contra esta resolución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los derechos fundamentales a la tutela judicial efectiva (art. 24.1 CE), a un proceso con todas las garantías (art. 24.2 CE), a la legalidad (art. 25.1 y 2 CE), a la libertad (art. 17.1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así como el derecho a un recurso efectivo [art. 14.5 del Pacto internacional de derechos civiles y políticos (PIDCP)], todo ello en relación con el art. 17 CE. Con cita de las SSTC 123/2005 (en lo relativo al alcance del principio acusatorio y del deber de congruencia entre acusación y fallo) y 11/1987 (que sostiene que los principios de audiencia e igualdad de partes han de respetarse también en la ejecución de la pena), se denuncia en la demanda que la Audiencia Nacional dictó la providencia de 27 de octubre de 2008, en la que aprueba el licenciamiento definitivo no en la fecha propuesta por el centro penitenciario, sino nueve años más tarde, en aplicación de la nueva doctrina del Tribunal Supremo, dando traslado sólo al Ministerio público y no a la penada, ni a su representación procesal, para que pudieran pronunciarse al respecto. Y ello pese a que se introducía en ese momento una perspectiva jurídica novedosa en cuanto al cómputo de las redenciones por trabajo, que empeoraba la situación del reo, al demorar su salida de prisión hasta el 7 de enero de 2017, respecto de la que la recurrente no pudo defenderse ni someterla a contradicción en condiciones de igualdad antes de que el órgano judicial denegara su licenciamiento definitivo. Entiende además que tal actuación implica la asunción por parte del órgano judicial de funciones acusatorias que constitucionalmente le están vedadas. Dentro de este primer motivo, se denuncia también la vulneración del derecho de defensa y del derecho al recurso, con cita del art. 14.5 PIDCP, vulneración ésta que se imputa al Auto de 20 de noviembre de 2008. Sostiene la recurrente que, al resolver el recurso de súplica, la Audiencia Nacional no entra en el fondo del objeto del debate, limitándose a aplicar la Sentencia del Tribunal Supremo de 28 de febrero de 2008 en un recurso interpuesto por el señor Parot en un tema referente a la refundición de condenas. La Audiencia Nacional actúa como si entendiera que nos hallamos ante una ejecución de aquella Sentencia, cuando la misma es firme y ejecutable para el recurrente en aquel procedimiento (señor Parot), pero no para la señora Noble Goicoechea. Con ello se vulnera el derecho a la segunda instancia penal y a un recurso efectivo, ya que no se pudo recurrir la providencia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del Código penal (CP) de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En el caso de la recurrente, ello significa que esos treinta años (10.950 días) se habrían cumplido el día 29 de octubre de 2008, sumando a los 7.958 días de internamiento efectivo, los 2.664 días de redención ordinaria y los 328 días abonados como redenciones extraordinarias.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se destaca que la administración penitenciaria, con la aprobación de los Jueces de vigilancia penitenciaria y de los Tribunales sentenciadores, ha aplicado las redenciones como tiempo de cumplimiento efectivo, sin que nada justifique en este momento el cambio de criterio. Un criterio mantenido a la hora de determinar el Código más favorable, computando las redenciones como tiempo de cumplimiento, establecido por los Plenos no jurisdiccionales de 18 de julio de 1996 y de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denuncia la vulneración del derecho a la tutela judicial efectiva (art. 24.1 CE), en relación con el derecho a la libertad (art. 17.1 CE). Sostiene la demanda que la nueva interpretación del cómputo de las redenciones sobre la totalidad de la condena le genera indefensión e inseguridad jurídica, puesto que con las redenciones aprobadas por los Juzgados de Vigilancia Penitenciaria, intangibles y firmes, que constan en la ejecutoria 47-1991, aplicadas —como se venía haciendo— al tope de treinta años, la recurrente habría cumplido ya su condena y podría haber obtenido el licenciamiento definitivo el 29 de octubre de 2008. El trabajo y los estudios en la prisión se realizaron en la confianza de que las redenciones así obtenidas implicarían un acortamiento del tiempo de permanencia en prisión, habiéndose generado una expectativa de dicho acortamiento sobre la base de la actuación del propio órgano judicial hasta el momento y de las propuestas de los centros penitenciarios, que habían venido aplicando la doctrina anterior. En concreto, cita el Auto de acumulación de condenas de 27 de enero de 2003, aportado con la demanda como documento núm. 5, que suponía que el límite de cumplimiento eran treinta años a los que se debían deducir las redenciones; las sucesivas liquidaciones posteriores aportadas como documental núm. 7, y la denegación de la revisión de la condena conforme al nuevo Código penal por Auto de 14 de noviembre de 1996, aportado como documental núm. 8, que tiene su origen en la previa liquidación de condena realizada por la prisión de Melilla aplicando las redenciones sobre la pena resultante de la aplicación del art. 70.2 CP 1973. Además, y tras referirse a la STC 76/2004, de 26 de abril, se afirma que la aprobación de las redenciones por parte de los Juzgados de Vigilancia Penitenciaria y las Audiencias Provinciales, en resoluciones judiciales firmes, suponía la aprobación de las redenciones como abono para la condena. Finalmente, se argumenta que el cambio de criterio vulnera el derecho a la tutela judicial efectiva, en relación con el derecho a la libertad, que implica un deber reforzado de motivación. Citando la STC 174/1989, se afirma que se lesionaría el art. 24.1 CE,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insiste en la vulneración del derecho a la tutela judicial efectiva (art. 24.1 CE) en su vertiente de intangibilidad de las resoluciones judiciales firmes, en relación con los principios de legalidad y seguridad jurídica. En la ejecutoria 47-1991, se acordó, mediante Auto de 27 de enero de 2003, acumular las condenas impuestas a la recurrente, fijándose una duración de treinta años de privación de tiempo de cumplimiento total de la condena. A raíz de dicho Auto, se aprobó la liquidación de condena, considerando la existencia de una sola condena de treinta años de privación de libertad, susceptible de reducción por medio del beneficio de redención de pena por el trabajo, previsto en el Código penal de 1973. Dicha condena no fue revisada para acomodarlas a las reglas del Código penal de 1995 porque la condena de treinta años con redenciones resultaba más beneficiosa que la que se le podría imponer con el Código penal posterior, única y exclusivamente por el efecto de la aplicación de las redenciones a la pena de treinta años. La demanda se remite a la documental núm. 5 y núm. 8. Como consecuencia de todo lo anterior, el centro penitenciario de Algeciras interesó la aprobación del licenciamiento definitivo de la recurrente para el día 29 de octubre de 2008, fecha resultante de la aplicación de las redenciones obtenidas a la pena refundida de treinta años como pena única, como se refleja en la hoja de cálculo realizada. Por tanto, no nos encontramos con una mera expectativa de reducción de condena y consecuentemente de libertad, sino ante una resolución firme por la que se acumulan las condenas impuestas, de la que se deriva una liquidación de condena y la aplicación a la misma de la redención de penas por el trabajo. La Sala aprobó por providencia de 7 de marzo de 2003 una liquidación de condena que consideraba la existencia de una sola condena de treinta años, susceptible de reducción mediante la redención de penas por el trabajo. Frente a la cual, las resoluciones ahora impugnadas, aprueban un licenciamiento definitivo muy posterior, modificando el criterio derivado de las resoluciones obrantes en las documentales 5,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considera vulnerado el principio de legalidad (art. 25.1 y 9.3 CE), por aplicación retroactiva de una ley desfavorable. Se denuncia que con esta pretendida nueva interpretación de facto se está aplicando retroactivamente el art. 78 CP 1995 a un penado bajo el Código penal de 1973. Sostiene la recurrente que el Código penal de 1973 era la ley más favorable, en la medida en que las redenciones incidían sobre la liquidación de condena, acortando el tiempo de internamiento efectivo.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en atención a quienes son los sujetos pasivos a los que afecta y a las circunstancias en que se adopta la decisión, por tanto, un cambio de criterio ad personam, constitucionalmente vedado. También se señala que a la recurrente se le deniega lo que a otros cientos de presos se les concedió, aplicando la ley de forma diferente y discriminatoria. En concreto, se cita como término de comparación al penado señor Esnaola Lasa, licenciado en la ejecutoria 30-1989 de la misma Sala y Sección de la Audiencia Nacional, al aplicársele las redenciones obtenidas a la pena única de treinta años. Aporta como documental núm. 6 Auto de refundición de condenas del citado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séptimo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siendo así que el tiempo acumulado por redenciones es tiempo efectivamente cumplido y no tiempo virtual, como señala la STS de 5 de abril de 2001. Ello queda patente en la inicial liquidación de condena y propuesta de licenciamiento definitivo efectuada por el centro penitenciario (conforme a la cual el recurrente había cumplido los treinta años el día 29 de octubre de 2008), por lo que las resoluciones recurridas, al denegar la libertad y fijar el licenciamiento definitivo en 2017 conforme a la nueva doctrina, violan el art. 17 CE, así como los arts. 5 y 7.1 del Convenio europeo y los arts. 9.1,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dirige la redención de penas por el trabajo como instrumento de tratamiento penitenciario, y que la interpretación del Tribunal Supremo, al dejar sin efecto útil alguno la redención de penas y la libertad condicional en casos como el presente,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2010, la Sala Segunda de este Tribunal acordó la admisión a trámite de la demanda así como, a tenor de lo establecido en el art. 51 de la Ley Orgánica del Tribunal Constitucional (LOTC), requerir atentamente a la Sección Segunda de la Sala de lo Penal de la Audiencia Nacional para que remitiera testimonio de las actuaciones correspondientes a la ejecutoria núm. 47-1991, interesando al tiempo que se emplazara a quienes fueron parte en el procedimiento, a excepción de la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 la recurrente en amparo para que alegaran lo que estimasen pertinente en relación con la petición de suspensión interesada. Evacuado dicho trámite, mediante Auto de 19 de julio de 2010, la Sala Segunda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3 de enero de 2011 se acordó dar vista de las actuaciones a la parte recurrente y al Ministerio Fiscal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su entrada en el Registro General de este Tribunal el día 8 de febrero de 2011, en el que sustancialmente reproduce los argumentos ya expuestos en la demanda. En relación con el sexto motivo de amparo, aporta documental referente al licenciamiento definitivo del señor Esnaola Lasa y del señor Hernández Tiemblo, en aplicación del anterior criterio de cómputo de las redenciones sobre la pena refundida de treinta años, en el último caso con posterioridad a la doctrina sentada por el Tribunal Supremo en la Sentencia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14 de febrero de 2011 presentó sus alegaciones el Ministerio Fiscal, interesando la estimación del amparo solicitado, por entender que las resoluciones recurridas han vulnerado los derechos a la intangibilidad de las resoluciones judiciales firmes (art. 24.1 CE), en relación con el derecho a la no retroactividad desfavorable para el reo (art. 25.1 CE en relación con el art. 9.3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por razones sistemáticas, es conveniente cambiar el orden de análisis de los motivos de amparo recogidos en la demanda y comenzar por el octavo y último, referido al art. 25.2 CE, motivo que se rechaza por cuanto el art. 25.2 CE no contiene un derecho fundamental susceptible de ser invocado en amparo y por carecer de autonomía propia, debiendo quedar vinculado a las otras infracciones del derecho a la legalidad penal que se denuncian. Igualmente considera que debe ser desestimado el primero de los motivos de amparo. Entiende que en términos constitucionales y en relación con el derecho a un proceso con todas las garantías, entre ellas el principio de contradicción (art. 24.2 CE), y la proscripción de la indefensión (art. 24.1 CE), hubiera sido preferible que la Sección Segunda de la Sala de lo Penal de la Audiencia Nacional hubiera dado traslado a la defensa de la solicitud del Fiscal de que se aplicase la nueva doctrina del Tribunal Supremo, pues la jurisprudencia del Tribunal Constitucional advierte de la plena presencia de los principios de contradicción y proscripción de la indefensión también en fase de ejecución de Sentencia, y en concreto en materia de refundición de condenas (SSTC 11/1987 y 47/2003). Sin embargo, entiende el Fiscal que no se puede apreciar la indefensión denunciada, ya que la representación procesal de la actora hizo uso de su derecho a ser oída al interponer recurso de súplica el 28 de octubre de 2008 contra la providencia de 27 de octubre de 2008 y obtuvo contestación a través del Auto que ahora se impugna, por lo que no concurre una situación de indefensión real y material. Tampoco concurre vulneración alguna del derecho de acceso al recurso, destacando que la referencia al art. 14. 5 PIDCP no está bien formulada, pues nos hallamos en el ámbito de la ejecución de una condena ya establecida, al que no se extiende la previsión convencional. Descarta también que tenga eficacia suasoria el quinto de los motivos de amparo, por cuanto no nos encontramos ante un supuesto de aplicación retroactiva del art. 78 CP 1995, como se sostiene en la demanda, sino ante un cambio de criterio jurisprudencial en la interpretación del art. 70.2 CP vigente al tiempo de comisión de los hechos. Añade que no corresponde al Tribunal Constitucional decidir cuál de las interpretaciones de la norma es la más adecuada y que el principio de legalidad en cuanto a la irretroactividad desfavorable se predica de la ley, no de las líneas jurisprudenciales. Igualmente debe ser desestimada la vulneración del principio de igualdad en la aplicación de la ley, porque las resoluciones impugnadas se limitan a aplicar la doctrina sentada por otro órgano judicial (el Tribunal Supremo), que es la supuestamente discriminatoria; y porque en todo caso el cambio de criterio se fundamenta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examen de los restantes motivos de amparo, considera el Fiscal necesario hacer una recapitulación fáctica, tras la cual destaca que el núcleo del problema reside en que la Sección Segunda de la Sala de lo Penal de la Audiencia Nacional asume en las resoluciones objeto del presente recurso de amparo los criterios expresados por la Sala Segunda del Tribunal Supremo en la Sentencia 197/2006, de 28 de febrero. Del examen de las actuaciones queda claro que tras el Auto de refundición de 27 de enero de 2003, el Tribunal aprobó sucesivas liquidaciones de condena con sus respectivas fechas de licenciamiento definitivo de conformidad con la interpretación jurisprudencial anterior, en concretos, las liquidaciones de fecha 4 de febrero de 2003 (que fija el licenciamiento el 25 de enero de 2017); la de 15 de octubre de 2003 (que fija el licenciamiento para el 14 de enero de 2017) o la de 17 de octubre de 2008, que indicó como fecha de licenciamiento el 7 de enero de 2017. Es la providencia de 27 de octubre de 2008 la que aceptando el nuevo giro jurisprudencial fija una nueva fecha de licenciamiento que pasa de la fecha de 29 de octubre de 2008 (según el criterio jurisprudencial antiguo) a la de 7 de enero de 2017 (según el nuevo criterio), con un evidente perjuicio penológico para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pregunta, en primer lugar, si ello vulnera el derecho a la intangibilidad de las resoluciones judiciales firmes. Entiende que no parece que puedan ser clasificadas como resoluciones intangibles las liquidaciones de condenas, habida cuenta de la extremada fluidez de la vida de cumplimiento penitenciario, aunque la STC 174/1989, de 30 de octubre, en sus FFJJ 4 in fine y 5, establece que las resoluciones de los Juzgados de Vigilancia Penitenciaria relativas a las redenciones devienen firmes y que, al afectar este beneficio al derecho a la libertad, no resulta admisible que su cuantía esté siempre sujeta a ulterior modificación, no estando configurado legalmente como un beneficio condicional que pueda ser revocado en determinados casos. Por el contrario, el Auto que fija la refundición de condenas, si no es recurrido, deviene firme e intangible respecto a las condenas refundidas. La ejecución de una condena penal debe responder siempre a criterios de estricta legalidad, ya que el criterio de legalidad de ejecución penal forma parte del principio de legalidad penal (SSTC 11/1987, de 30 de enero y 147/1988, de 14 de julio). En dicha ejecución, y en el caso de autos, no es de recibo que fijados unos criterios de interpretación normativa para fijar la refundición de condena (Auto de 27 de enero de 2003) puedan variarse por otra resolución posterior como las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entiende el Fiscal que el Auto de 27 de enero de 2003 fijó los criterios para la ejecución de la condena operando una interpretación de la normativa en juego, posteriormente modificada en atención a la nueva interpretación emanada de una decisión de la Sala Segunda del Tribunal Supremo, lo que comporta una vulneración del derecho a la intangibilidad de las resoluciones judiciales firmes consagrada en el art. 24.1 CE. Cita, por todas, la STC 209/2005, de 4 de julio. La anterior vulneración tiene además engarce con el principio de legalidad (art. 25.1 CE), en relación con al prohibición de retroactividad de las normas penales perjudiciales al reo (art. 9.3 CE), ya que las garantías de legalidad y seguridad jurídica que exigen ambos preceptos constitucionales deben extenderse a la ejecución de las penas, integrándose la irretroactividad de las normas y de su interpretación desfavorable al reo en el complejo de legalidad del art. 25.1 CE (cita STEDH Puhk c. Estonia de 10 de febrero de 2004). Finalmente, ambas vulneraciones deben conectarse con la vulneración del derecho a la libertad personal (art. 17.1 CE), porque incide de forma directa en el tiempo de privación de libertad del condenado a una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21 de junio de 2011 el Pleno acordó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Sala de lo Penal de la Audiencia Nacional, de 20 de noviembre de 2008, que desestima el recurso de súplica contra la providencia de 27 de octubre de 2008, por la que se aprueba el licenciamiento definitivo de la penada para el día 7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entender concurrente la vulneración de los derechos fundamentales consagrados en los arts. 17.1,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quejas articuladas en la demanda de amparo, conviene precisar que la falta de interposición por la recurrente de recurso de casación contra la resolución recurrida en amparo no puede conllevar, en el presente caso, la inadmisión de la demanda de amparo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recurribilidad en casación de los Autos que fijan la fecha de licenciamiento definitivo no se deriva inequívocamente de precepto legal alguno, habiendo existido al respecto posiciones no unánimes en la jurisprudencia del Tribunal Supremo, que dieron lugar a que la Sala Segunda de dicho Tribunal considerara necesario un pronunciamiento unificador, para lo cual dictó el Auto de 7 de abril de 2008, en el que se concluye que dichos Autos también son susceptibles de recurso de casación, al amparo del art. 988 de la Ley de enjuiciamiento criminal. Ciertamente dicho pronunciamiento unificador se produjo con carácter previo a la interposición de la presente demanda de amparo, el día 8 de enero de 2009. Ahora bien, como se ha hecho constar en los antecedentes, la demandante se atuvo a la instrucción de recursos contenida en la resolución impugnada en amparo (Auto de 20 de noviembre de 2008), en la que inequívocamente se hace constar “que contra la misma no cabe recurso”, optando, en consecuencia, por no preparar recurso de casación. Teniendo esto en cuenta ha de concluirse que, aunque esta información pudiera considerarse errónea, ello no podría conducir a considerar incorrectamente agotada la vía judicial cuando la demandante ha seguido la indicación judicial, de conformidad con lo establecido inequívocamente por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afirmado que “hay que considerar en todo caso excusable el error en que pueda incurrir el litigante a la hora de considerar agotada la vía judicial cuando haya sido inducido a tal error por una instrucción o información errónea acerca de los recursos facilitada por el órgano judicial, pues si éste ha ofrecido indicaciones equivocadas sobre los recursos utilizables, el interesado, aun contando con asistencia letrada, podría entender, dada la autoridad inherente a la decisión judicial, que tales indicaciones son ciertas y obrar en consecuencia. De este modo, no es razonable exigir al interesado que contravenga o salve por sí mismo la instrucción o información de recursos consignada en la resolución judicial, aunque ésta pueda resultar o resulte errónea, dada la delicada disyuntiva en la que en caso contrario se le sitúa como consecuencia de la necesidad de cumplir simultáneamente las dos exigencias de agotar la vía judicial previa [arts. 43.2 y 44.1 a) LOTC] y de interponer el recurso de amparo dentro de los treinta días siguientes a la notificación de la resolución recaída en el proceso judicial (arts. 43.2 y 44.2 LOTC)” (por todas, STC 210/2009, de 26 de noviembre, FJ 2, que se remite a la STC 241/2006, de 20 de julio, FJ 3, dictada por 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primera de las quejas articuladas en la demanda, bajo la invocación de los derechos a la tutela judicial efectiva (art. 24.1 CE) y a un proceso con todas las garantías (art. 24.2 CE), se denuncia en primer lugar —y al margen de una vulneración del principio acusatorio carente del menor desarrollo argumental para que pueda ser tomada en consideración por este Tribunal— la indefensión generada por la Audiencia Nacional en su providencia de 27 de octubre de 2008, al acordar la aplicación de la nueva doctrina del Tribunal Supremo acerca del cómputo de las redenciones de penas por el trabajo, conforme a lo solicitado por el Ministerio Fiscal, sin dar traslado previamente a la defensa para que se pronunciara al respecto, vulnerando el derecho de defensa y el principio de contradicción, puesto que se introducía una perspectiva jurídica novedosa, que empeoraba la situación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aunque hubiera sido deseable que la Sección Segunda de la Audiencia Nacional hubiera dado traslado a la defensa de la solicitud del Fiscal de que se aplicase la nueva doctrina del Tribunal Supremo acerca del cómputo de las redenciones de penas por trabajo, la ausencia de dicho trámite no determina la existencia de las vulneraciones alegadas. En efecto, en relación con el derecho fundamental a no padecer indefensión, este Tribunal ha declarado que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todas, SSTC 14/2008, de 31 de enero, FJ 3; 62/2009, de 9 de marzo, FJ 4; y 12/2011, de 28 de febrero, FJ 3). Pues bien, en el presente caso no concurre una situación material de indefensión efectiva constitucionalmente relevante, puesto que la recurrente pudo defenderse y someter a contradicción la aplicación de la nueva doctrina sobre el cómputo de la redención de pena por trabajo en el recurso de súplica que interpuso, como de hecho hizo, obteniendo una exhaustiva respuesta al respecto por parte del órgano judicial en el Auto de 20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dentro del primero de los motivos de amparo, se aduce la vulneración del derecho a un recurso efectivo y a la segunda instancia penal [art. 24.2 CE en relación con el art. 14.5 del Pacto internacional de derechos civiles y políticos (PIDCP)]. Tampoco esta queja puede prosperar, puesto que la recurrente tuvo acceso al recurso legalmente previsto (el recurso de súplica), que no fue inadmitido, sino resuelto y desestimado, considerando la Audiencia que resultaba de aplicación al caso la nueva doctrina sentada por el Tribunal Supremo en relación con el cómputo de la redención de penas por el trabajo y que no le correspondía corregir al Tribunal Supremo en su interpretación de la legalidad ordinaria.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Este es el derecho consagrado en el art. 14.5 PIDCP y en el art. 2 del Protocolo núm. 7 del Convenio europeo para la protección de los derechos humanos y de las libertades fundamentales (CEDH), ratificado por España el 28 de agosto de 2009, “BOE” de 15 de octubre de 2009, y que forma parte de las garantías del proceso justo consagradas en el art. 24.2 CE (por todas, SSTC 42/1982, de 5 de julio, FJ 3; 76/1982, de 14 de diciembre, FJ 5; 70/2002, de 3 de abril, FJ 7; y 116/2006, de 24 de abril, FJ 5), sin que sea posible extender el alcance de la citada garantía —como pretende la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 este grupo de quejas articuladas como primer motivo de amparo, en los restantes motivos se denuncia desde diversas perspectivas constitucionales la cuestión de fondo, esto es, la aplicación al presente caso de un nuevo criterio jurisprudencial en la interpretación de los arts. 70.2 y 100 del Código penal (CP) de 1973, y concordantes del reglamento penitenciario, en relación con el cómputo de la redención de penas por el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como quedó reflejado en los antecedentes,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Todo ello en la medida en que la aplicación del nuevo criterio de cómputo de las redenciones modifica sus expectativas —fundadas en las decisiones previas del órgano judicial y de la Administración penitenciaria— de alcanzar la libertad el día 29 de octubre de 2008 (según se desprende de la propuesta de licenciamiento definitivo enviada inicialmente por el centro penitenciario al órgano judicial), retrasando ese momento hasta el día 7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cual, hemos de comenzar precisando cuáles son los derechos fundamentales en juego y cuál ha de ser nuestro parámetro de enjuiciamiento en esta materia. No obstante, con carácter previo, conviene aclarar que el objeto del presente recurso de amparo no lo constituye la Sentencia 197/2006, de 28 de febrero, dictada por la Sala Segunda del Tribunal Supremo, como máximo intérprete de la legalidad ordinaria ex art. 117 CE, sino que nuestro examen se ha de limitar a la consideración de la respuesta judicial que para el caso concreto se contiene en las resoluciones recurridas, en las que se acuerda la aplicación como criterio de cómputo de las redenciones el establecido con carácter previo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ha de tenerse en cuenta que no nos encontramos en el ámbito propio del derecho fundamental consagrado en el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Prescribiendo, en relación a supuestos de acumulación de varias penas especialmente graves se establece la obligatoriedad de realizar ese cómputo referido a la totalidad de las penas impuestas; preceptividad que, sin embargo, admite algunas excepciones (art. 78.2 y 3 del Código penal actual). Pues bien,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la resolución dictada por la Audiencia Nacional se limita a aplicar la doctrina sentada con anterioridad por otro órgano judicial, el Tribunal Supremo, máximo intérprete de la ley, justificando el cambio de criterio en el cómputo de las redenciones de penas por el trabajo, frente a otros supuestos resueltos con anterioridad, precisamente en aplicación de esa doctrina. Por tanto, en el presente caso no puede apreciarse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hemos de recordar que no es función de este Tribunal la interpretación de la legalidad ordinaria y, en lo que aquí interesa, que no nos corresponde pronunciarnos directamente sobre cómo interpretar y aplicar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la recurrente en las resoluciones judiciales que son objeto del presente recurso de amparo, al aplicar el nuevo criterio de cómputo de las redenciones, vulneró su derecho a la tutela judicial efectiva (art. 24.1 CE), en su vertiente de derecho a la intangibilidad de las resoluciones judiciales firmes, y como consecuencia de ello su derecho a la libertad (art. 17.1 CE), al modificar una expectativa —fundada en resoluciones intangibles— de obtener el licenciamiento definitivo (y por tanto de ser puesto en libertad) el día 29 de octubre de 2008. El Ministerio Fiscal considera que se ha producido la vulneración de ambos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demanda de amparo (tercer y cuarto motivos de amparo), se predica la intangibilidad de lo decidido en cuanto al criterio de cómputo de las redenciones de penas por el trabajo en la ejecutoria 47-1991 de las siguientes resoluciones judiciales. En primer lugar, del Auto de 27 de enero de 2003, que acordó acumular las condenas impuestas a la recurrente, fijándose una duración de treinta años de tiempo de cumplimiento total de la condena. A raíz de dicho Auto, por providencia de 7 de marzo de 2003 la Sala aprobó una liquidación de condena que consideraba la existencia de una sola condena de 30 años, y varias liquidaciones posteriores en las que igualmente se partía de una sola condena de treinta años de privación de libertad, lo cual —según la recurrente— implicaría que era susceptible de reducción por medio del beneficio de redención de pena por el trabajo, previsto en el Código penal de 1973. En segundo lugar, del Auto de 14 de noviembre de 1996, que acordó no revisar las condenas para acomodarlas a las reglas del Código penal de 1995, porque la condena de treinta años con redenciones resultaba más beneficiosa que la que se le podría imponer con el Código penal posterior, única y exclusivamente por el efecto de la aplicación de las redenciones a la pena de treinta años. A ello se añade, en tercer lugar, que la recurrente tiene reconocidos por los Juzgados de Vigilancia Penitenciaria, en resoluciones firmes e intangibles, 2.664 días de redención ordinaria y 328 días abonados como redenciones extraordinarias, que sumados a los 7.958 días de internamiento efectivo significan que el día 29 de octubre de 2008 cumplió el total de treinta años (10.950 días) establecidos como máximo de cumplimiento en el Auto de acumulación de condenas de 27 de enero de 2003, como se refleja en la hoja de cálculo realizada por el centro penitenciario de Algeciras al interesar la aprobación del licenciamiento definitivo de la recurrente para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también considera que la firmeza de la resolución judicial que refundió las condenas y señaló como pena a cumplir la de treinta años, así como las liquidaciones de condena posteriores, impiden la revisión del criterio de cómputo de las redenciones.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ninguna de las resoluciones judiciales citadas tanto por la recurrente como por el Ministerio Fiscal puede derivarse, en el presente caso, el efecto de intangibilidad pretendido respecto al criterio de cómputo de las redenciones.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Auto de acumulación de fecha 27 de enero de 2003, dictado por la Sección Segunda de la Sala de lo Penal de la Audiencia Nacional, el mismo se limita a acumular las condenas impuestas a la recurrente en las diversas causas (en la medida en que los delitos cometidos presentan entre sí clara conexión jurídica y cronológica que hubiera permitido enjuiciarlos en un único proceso) y a fijar un máximo de cumplimiento en treinta años, de privación de libertad, en aplicación de la regla 2 del art. 70 CP 1973. No existe en el citado Auto referencia alguna a la redención de penas por el trabajo o al criterio de cómputo de la misma, ni puede concluirse que dicho criterio sea relevante en modo alguno en la decisión de acumulación que se adopta.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liquidaciones aprobadas por el órgano judicial a raíz de la acumulación de condenas y con anterioridad a las resoluciones recurridas en amparo, como quedó reflejado en el antecedente 2 letras b), c) y d), en ninguna de ellas se toma en consideración la existencia de redenciones de penas por trabajo en la causa (en todas ellas consta redenciones: cero), por lo que tampoco puede derivar de dichas liquidaciones un criterio intangible de cómputo sobre la redención de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cita el Auto 14 de noviembre de 1996 por el que se acuerda que no procede la revisión de las Sentencia por aplicación de las disposiciones transitorias segunda y quinta CP 1995. Un Auto en cuyo antecedente primero se alude a la certificación del centro penitenciario prevista en la disposición transitoria tercera del nuevo Código penal, en la que —como destaca la demanda— se hace referencia a las redenciones obtenidas hasta el momento y a las fechas previstas de cumplimiento con cómputo y sin cómputo de redenciones. Y en su fundamentación jurídica, tras afirmar que no se considerará más favorable el nuevo Código “cuando la duración de la pena anterior impuesta al hecho con sus circunstancias sea también imponible con arreglo al nuevo Código”, se añade: “Debe entenderse, como consecuencia de la desaparición en el nuevo Código de la redención de pena por trabajo y por la necesidad de aplicación de las normas completas de uno y otro Código (aplicación no fragmentaria de normas prevista en la DT 2), que tampoco procederá la revisión cuando la antigua pena por aplicación de los beneficios penitenciarios del art. 100 del CP y normas complementarias equivalga en términos de cumplimiento real a una pena que también sea imponible, es decir, que se encuentre dentro del marco punitivo que establezca la nueva norma, sin que en este caso tampoco proceda hacer una individualización de la pena a tenor del nuevo Código, lo que sólo se producirá cuando, efectivamente, después del análisis global previsto en la DT 5 haya de revisarse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Auto se refiere sólo a una de las causas (el Sumario núm. 3-1986) y a la Sentencia dictada en dicha causa (Sentencia de 11 de junio de 1987, firme el 13 de julio de 1987, en la que se condenó a la recurrente a tres penas privativas de libertad, estableciéndose en el fallo de la Sentencia la aplicación de la regla 2 del art. 70 CP, con el límite de cumplimiento de treinta años). Sólo respecto de dicha condena consta en las actuaciones que se efectuara la liquidación provisional de la pena en ejecución (folio 232 de las actuaciones, en la que efectivamente se hace constar la existencia de redenciones y se computan al límite de treinta años impuesto en la Sentencia) a los efectos de valorar la procedencia o no de la revisión de la misma de conformidad con lo previsto en las disposiciones transitorias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primera Sentencia condenatoria, la recurrente fue condenada en otras tres causas (en el sumario 7-1987, por Sentencia de 25 de noviembre de 1989, firme el 13 de junio de 1990; en el Sumario 23-1987, por Sentencia de 7 de octubre de 1987, firme el 26 de enero de 1988; y en el sumario 27-1986, por Sentencia de 10 de diciembre de 1990, firme el 27 de febrero de 1991), cuya acumulación a la causa 3-1986 fue solicitada en un escrito fechado el día 7 de septiembre de 2002, y acordada por Auto de 27 de enero de 2003, cuyo fallo —como ya se indicó— acumula las condenas impuestas en las cuatro causas y fija en una duración de treinta años el tiempo total de cumplimiento de todas las penas privativas de libertad impuestas en dichas causas. Y como acaba de señalarse, ninguna de las liquidaciones de condena aprobadas por el órgano judicial tras la acumulación establece criterio de cómputo alguno de las redenciones de pena por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Auto de 14 de noviembre de 1996, al referirse sólo a una de las causas en las que la recurrente resultó condenada, no constituye una decisión intangible respecto del cumplimiento de penas impuestas en otras causas y refundidas sólo con posterioridad al dictado de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en cuanto a las resoluciones del Juzgado de Vigilancia Penitenciaria, constituye doctrina de este Tribunal que las resoluciones del Juzgado de Vigilancia Penitenciaria en las que se reconoce a un penado determinados días de redención de pena devienen firmes e intangibles y que se lesiona el derecho a la tutela judicial efectiva en su vertiente de intangibilidad de las resoluciones judiciales firmes por la modificación o inejecución de dichos Autos (SSTC 174/1989, de 30 de octubre, FFJJ 3, 4 y 5; y 31/1999, de 8 de marzo, FJ 4). También hemos afirmado en la STC 76/2004, de 26 de abril, FJ 4, como destacan tanto el recurrente como el Ministerio Fiscal, que “las redenciones de pena por el trabajo reconocidas por resoluciones firmes del Juzgado de Vigilancia Penitenciaria son de abono en las condenas, aunque se proceda a su revisión de conformidad con el nuevo Código penal, ya que, en otro caso, se vulneraría el derecho a la ejecución e inmutabilidad de las resoluciones judiciales firmes (STC 31/1999, de 8 de marzo, FFJJ 4 y 6), como también se lesiona esta garantía inherente al derecho a la tutela judicial efectiva sin indefensión si el beneficio de la redención de penas por el trabajo estuviese siempre pendiente de ulterior modificación (STC 174/1989, de 30 de octubre, FFJJ 4 y 5), o se desconociera lo resuelto en otros Autos de los Juzgados de Vigilancia Penitenciaria dada su firmeza (STC 67/1991,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las resoluciones del Juzgado de Vigilancia Penitenciaria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los días de redención ordinaria y extraordinaria así obtenidos) y reconoce un determinado número de días redimidos que, posteriormente, el Tribunal sentenciador ha de computar en la liquidación de condena cuando la misma se produzca. Siendo así, en el presente caso y a diferencia de los resueltos en las Sentencias anteriormente citadas, no puede afirmarse que las resoluciones recurridas ignoren, o pongan en cuestión la firmeza e intangibilidad de lo decidido en los Autos del Juzgado de Vigilancia Penitenciaria. La providencia y el Auto del Tribunal sentenciador se limitan a realizar el cómputo de esas redenciones reconocidas, firmes e intangibles, a efectos de liquidación de condena, lo que —como se expuso anteriormente— no le corresponde al Juzgado de Vigilancia Penitenciaria, sino al Tribunal sentenciador a propuesta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cabe concluir que, en el presente caso, ni existe vulneración del derecho a la tutela judicial efectiva en su vertiente de intangibilidad de las resoluciones judiciales firmes (art. 24.1 CE), ni vulneración del derecho a la libertad (art. 17.1 CE). En efecto, ni puede afirmarse la existencia de una resolución judicial firme e intangible de la que se derive la aplicación al caso de un criterio de cómputo de las redenciones de pena por trabajo distinto del aplicado por las resoluciones recurridas, ni que la recurrente tuviera una legítima expectativa concreta, derivada de la actuación previa de los órganos judiciales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Inmaculada Noble Goicoechea.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362-2009.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