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7271-2010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octubre de 2010, la Procuradora de los Tribunales doña María Luz Albacar Medina, en nombre y representación de General de Galerías Comerciales, S.A., presentó en el Registro General de este Tribunal demanda de amparo contra la Sentencia de la Sala de lo Civil del Tribunal Supremo de 30 de abril de 2010, recaída en recurso de casación núm. 118-2004, contra la Sentencia de la Audiencia Provincial de Málaga, dictada en apelación de la Sentencia del Juzgado de Primera Instancia núm. 4 de Marbella, que desestimó la demanda interpuesta por la entidad Centros Comerciales Prica, S.A., contra la ahora recurrente en amparo sobre incumplimiento del contrato de compraventa celebrado entre ambas entidades mercantiles.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alega en su demanda de amparo que la Sentencia impugnada vulneró su derecho a la tutela judicial efectiva sin indefensión (art. 24.1 CE) al no estar suficientemente motivada, incurrir en incongruencia extra petita.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febrero de 2012, la Sala Segunda de este Tribunal acordó admitir a trámite la demanda de amparo y ordenar que se formase la presente pieza separada de suspensión, concediendo a la demandante de amparo y al Ministerio Fiscal, conforme a lo dispuesto en el art. 56 de la Ley Orgánica del Tribunal Constitucional (LOTC), plazo común de tres días para formular alegaciones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entrada en este Tribunal el 29 de febrero de 2012, el Ministerio Fiscal solicitó, a la vista de la petición efectuada por la parte recurrente en amparo,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Ministerio Fiscal el carácter excepcional de la medida solicitada, así el art. 56.2 LOTC contempla la suspensión de las Sentencias o actos impugnados en amparo con un carácter excepcional en los casos en que la ejecución de los mismos cause al recurrente un perjuicio grave que haga perder al recurso su propia efectividad. La excepcionalidad de la medida de suspensión viene además sujeta a la limitación de que la misma no cause perjuicio a un interés constitucionalmente protegido, ni a los derechos fundamentales y libertades de otras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en apoyo de lo afirmado por el ATC 144/2010, de 18 octubre. No obstante considera que si bien, conforme a la doctrina mencionada, la regla general es la no admisión de la suspensión de los actos o resoluciones de contenido económico o patrimonial dado que es posible la reparación de la lesión producida por la ejecución al recurrente, excepcionalmente es posible la suspensión cuando la ejecución del acto afecte a derechos del demandante o de terceros de imposible o muy difícil reparación, como en el caso de que la ejecución de la resolución impugnada en amparo conllevaba el cierre de negocios que, por la situación económica de su propietario, pudiera arrastrar su quiebra y la pérdida de empleo de sus trabajadores (AATC 110/1998, de 21 de mayo, y 333/2004, de 13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Circunstancia que corresponde al recurrente la carga de acreditar; en el presente caso, la empresa recurrente en amparo solicitó la suspensión sobre la base del montante de la indemnización fijada en la Sentencia del Tribunal Supremo aquí recurrida en amparo, anunciando la quiebra de la empresa y despido de trabajadores si la cantidad hubiera de ser pagada, sin embargo la forma en que se presenta la petición de suspensión adolece de falta de prueba alguna documental o de otro género que acredite la pérdida de finalidad del amparo que se invoca agotándose la justificación en las afirmaciones que se hacen, lo que indudablemente no llena el requisito exigido jurisprudencialmente de la prueba de la pérdida de finalidad del amparo que es carga del recurrente como mas arriba se dijo.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recuerda que la suma que la Sentencia obliga a pagar y que es ciertamente elevada, debe valorarse en función del volumen del negocio de la empresa o de sus propiedades, no con carácter absoluto. En este sentido la suspensión no debería concederse, dicho sea como doctrina general, por la simple manifestación del recurrente o recurrentes en la demanda de amparo por no generar la admisión a trámite un derecho incondicionado a la suspensión de la resolución recurrida, careciendo el Tribunal Constitucional de base para discriminar la pérdida de la finalidad del amparo con datos que no están a su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este Tribunal el 2 de marzo de 2012, la parte recurrente explica que en la vía judicial previa al presente recurso de amparo procedió a consignar la suma a la que resultó condenada, por ello la tutela cautelar que solicita no es simplemente la suspensión de la Sentencia que se recurre, sino que con el fin de reponer la situación fáctica al estado anterior a la ejecución de la Sentencia recurrida, se ordene a la contraparte en el pleito de origen a que devuelva la cantidad cobrada con base en la Sentencia que se recurre y proceda a su consignación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de la Ley Orgánica del Tribunal Constitucional (LOTC) que cuando la ejecución del acto o Sentencia impugnados produzca un perjuicio al recurrente que pudiese hacer perder al amparo su finalidad, la Sala o, en su caso, la Sección que conozca de un recurso de amparo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recordada en el ATC 144/2010, de 18 octubre,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y siempre “que la suspensión no ocasione perturbación grave a un interés constitucionalmente protegido, ni a los derechos fundamentales o libertados de otra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es doctrina reiterada y unánime de este Tribunal, que la previsión contenida ahora en el art. 56.2 LOTC (en la redacción anterior a la reforma de la Ley Orgánica 6/2007 la establecía el art. 56.1 LOTC), que exige como uno de los requisitos para otorgar la suspensión que la ejecución del acto del poder público por razón del cual se reclama el amparo ocasione “un perjuicio al recurrente que pudiera hacer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y, en el mismo sentido AATC 20/2009, de 26 de enero, 94/2010, y 95/2010, ambos de 19 de julio, entre muchos ). Por esta razón este Tribunal no accede, salvo excepciones, a la solicitud de suspensión de resoluciones que imponen obligaciones de pago de cantidad o, en general, de contenido económico o patrimonial, pues la lesión que de ellas se deriva es normalmente reparable (AATC 125/2003, de 23 de abril, 326/2005, de 12 de septiembre, 152/2006, de 8 de mayo, 357/2006, de 9 de octubre, 118/2008, de 28 de abril; 388/2008, de 15 de diciembre; y 20/2009 de 26 de enero, 95/2010, de 19 de julio,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ahí que, como señala el ATC 333/2004, de 13 de septiembre, este Tribunal haya establecido un criterio general según el cual no procede la suspensión de la ejecución de aquellos fallos judiciales que admiten la restitución íntegra de lo ejecutado, como sucede, por lo general, tal y como ya se ha advertido, con los que producen efectos meramente patrimoniales que, por tener contenido económico no causan, salvo excepciones, perjuicios de imposible reparación. Las excepciones consideradas se refieren a aquellos otros fallos en los que resultan afectados bienes o derechos del recurrente en amparo o de terceros de imposible o muy difícil restitución a su estado anterior (ATC 263/2003, de 15 de julio, FJ 2; y ATC 307/1999, de 13 de diciembre), como sucede, por ejemplo, en los casos en los que la ejecución de la resolución impugnada en amparo conllevaba el cierre de negocios que, por la situación económica de su propietario, pudiera arrastrar su quiebra y la pérdida de empleo de sus trabajadores (AATC 110/1998, de 18 de mayo, y 333/2004, de 13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del examen de la solicitud de suspensión formulada, cabe concluir que no se han acreditado circunstancias excepcionales que lleven a conceder la suspensión pedida, puesto que nos encontramos ante una cuestión estrictamente económica, en la que la parte recurrente se ha limitado a advertir, mediante otrosí de la demanda de amparo, que el perjuicio que se le ocasionaría de no acceder a la petición de suspensión se cuantifica en seis millones de euros y afirmando que dicho perjuicio “determinaría la drástica reducción del negocio y actividad empresarial de la recurrente, con pérdida de puestos de trabajo, tanto directos como indirectos”. Sin embargo, nada se ha aportado para acreditar estas afirmaciones vertidas. Tampoco en el trámite de alegaciones de la presente pieza de suspensión ha intentado demostrar la incidencia real en su patrimonio del perjuicio que alega.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