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8136-2009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8136-2009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8136-2009.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septiembre de 2009, el Procurador de los Tribunales don José Javier Cuevas Rivas, en nombre y representación de don Juan María Gabirondo Agote, y bajo la dirección de la Letrada doña Ainhoa Baglietto Gabilondo, interpuso recurso de amparo contra el Auto de la Sección Segunda de la Sala de lo Penal de la Audiencia Nacional de 17 de julio de 2009, dictado en la ejecutoria núm. 67-1990, por el que se desestima el recurso de súplica interpuesto contra el Auto de 24 de abril de 2009, en la que se aprueba fecha para licenciamiento definitivo.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en dichas resoluciones, al haberse aplicado la doctrina establecida en la Sentencia de la Sala Segunda del Tribunal Supremo núm. 197/2006, de 28 de febrero, se ha retrasado el licenciamiento definitivo en varios años, por lo que su ejecución ocasionaría un perjuicio al recurrente que haría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en este Tribunal el 26 de abril de 2012, presentó alegaciones en las que, enunciando la jurisprudencia de este Tribunal sobre el particular, interesó que se denegara la suspensión solicitada, argumentando, por un lado, la gravedad de las penas impuestas cuya fecha de cumplimiento es el objeto del recurso de amparo y la lejanía del tiempo de cumplimiento definitivo fijado en las resoluciones impugnadas y, por otro, la circunstancia de que la suspensión determinaría la puesta en libertad del recurrente lo que supondría, al menos parcialmente, un otorgamiento anticipado.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en este Tribunal el 16 de abril de 2012, presentó alegaciones insistiendo en la necesidad de la suspensión de las resoluciones impugnadas por los graves perjuicios que supone el mantenimiento en prisión, toda vez que se ha acordado nueva fecha de licenciamiento definitivo para el 28 de abril de 2016, en vez de la anteriormente fijada de 23 de julio de 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de la Ley Orgánica del Tribunal Constitucional dispone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que no se produzca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por las que se aprueba la fecha de licenciamiento definitivo en aplicación de la doctrina establecida en la Sentencia de la Sala Segunda del Tribunal Supremo núm. 197/2006, de 28 de febrero, no resulta procedente la puesta cautelar en libertad del recurrente por implicar una perturbación grave de los intereses generales, y, en concreto, del legítimo interés público en el cumplimiento de las penas, en atención a la gravedad de las penas que se están ejecutando. A ello se añade la circunstancia de que la puesta en libertad del recurrente supondría, al menos parcialmente, un otorgamiento anticipado del amparo que se solicita, lo que desnaturalizaría la naturaleza cautelar de la medida (por todos, ATC 206/2010,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tal como señala el Ministerio Fiscal, la solicitud de la suspensión debe ser rechazada, ya que se trata del cumplimiento de penas graves cuyo límite se ha establecido en treinta años y su concesión supondría la puesta en libertad del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8136-2009.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