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115</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7357-2013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7357-2013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art. 1 de la Ley 4/2013, de 1 de octubre, de la Comunidad Autónoma de Andalucía de medidas para asegurar el cumplimiento de la función social de la vivienda, por el que se da nueva redacción al art. 1.3 de la Ley 1/2010, de 8 de marzo, reguladora del derecho a la vivienda en Andalucía y se introducen en ella los arts. 25 y 53.1 a), y de la disposición adicional primera de la mencionada Ley 4/2013.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18 de diciembre de 2013 el Abogado del Estado, en nombre del Presidente del Gobierno, interpuso recurso de inconstitucionalidad contra el art. 1 de la Ley 4/2013, de 1 de octubre, de la Comunidad Autónoma de Andalucía de medidas para asegurar el cumplimiento de la función social de la vivienda, por el que se da nueva redacción al art. 1.3 de la Ley 1/2010, de 8 de marzo, reguladora del derecho a la vivienda en Andalucía y se introducen en ella los arts. 25 y 53.1 a), y contra la disposición adicional primera de la mencionada Ley 4/2013.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los preceptos impugnados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14 de enero de 2014 el Pleno del Tribunal Constitucional, a propuesta de la Sección Tercera, acordó admitir a trámite el recurso de inconstitucionalidad, dar traslado de la demanda y documentos presentados, conforme establece el art. 34 de la Ley Orgánica del Tribunal Constitucional (LOTC), al Congreso de los Diputados y al Senado así como a la Junta de Andalucía y al Parlamento de Andalucía,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preceptos impugnados desde la fecha de interposición del recurso —18 de diciembre de 2013— para las partes del proceso y desde el día en que aparezca publicada la suspensión en el “Boletín Oficial del Estado” para los terceros, lo que se comunicó a los Presidentes de la Junta de Andalucía y del Parlamento de Andalucía. Por último, también se ordenó publicar la incoación del recurso en el “Boletín Oficial del Estado” y en el “Boletín Oficial de la Junta de Andalucía”. El recurso se publicó en el “Boletín Oficial del Estado”, núm. 15, de 17 de enero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registrado el día 22 de enero de 2014, comunicó que la Mesa de la Cámara, en su reunión de 21 de enero, había acordado la personación en este procedimiento y el ofrecimiento de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24 de enero de 2014 la Letrada de la Junta de Andalucía solicitó que se tuviera por personada a la Junta de Andalucía y la ampliación del plazo para formular el escrito de alegaciones. El 27 de enero de 2014 el Pleno del Tribunal Constitucional acordó incorporar a las actuaciones el escrito de la Letrada, tener por personada a la Junta de Andalucía y prorrogar en ocho días el plazo concedido por la providencia de 14 de enero de 2014, a contar desde el día siguiente al de expiración del plazo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día 30 de enero de 2014 la Letrada del Parlamento de Andalucía solicitó que se tuviera por personada al Parlamento de Andalucía y la ampliación del plazo para formular el escrito de alegaciones. El 3 de febrero de 2014 el Pleno del Tribunal Constitucional acordó incorporar a las actuaciones el escrito de la Letrada, tener por personado al Parlamento de Andalucía y prorrogar en ocho días el plazo concedido por la providencia de 14 de enero de 2014, a contar desde el día siguiente al de expiración del plazo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día 18 de febrero de 2014 la Letrada de la Junta de Andalucía presentó sus alegaciones interesando la desestimación del recurso de inconstitucionalidad, instando mediante otrosí el levantamiento de la suspensión de la disposición impugnada antes de que transcurriera el plazo de cinco meses previstos en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Letrada subraya que el error del recurso estriba en que, al tratar la vivienda como un simple activo financiero, difícilmente se puede probar por la Abogacía del Estado que la regulación autonómica tenga efectos negativos en la economía, ya que la Ley impugnada parte de la concepción de la vivienda como un derecho, responde al mandato constitucional previsto en el art. 47 CE y nace como consecuencia de la situación actual de emergencia social y económica, adoptando medidas con base en los principios de subsidiariedad y proporcionalidad.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 la solicitud específica del levantamiento de la suspensión de la eficacia de los preceptos recurridos, se comienza recordando la posibilidad admitida por la doctrina constitucional de que la Comunidad autora de la disposición recurrida puede solicitar anticipadamente el levantamiento de la suspensión acordada sin agotar el plazo de cinco meses y se señala que, en el presente caso, el levantamiento viene justificado por la situación de emergencia social que aborda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la importancia del mandato constitucional contenido en el art. 47 CE, que debe ser interpretado con arreglo a los arts. 1 y 10.1 CE y que en tiempos de tribulaciones económicas exige especiales esfuerzos a los poderes públicos para proteger a los ciudadanos más desfavorecidos. Teniendo en cuenta que Andalucía es una de las Comunidades Autónomas en las que mayor número de desahucios se ha producido, que la ausencia de vivienda conlleva en la práctica la imposibilidad de ejercer otros derechos, que la Comunidad Autónoma posee un enorme parque de viviendas sin uso o infrautilizado y una demanda insatisfecha, con una oferta insuficiente y a precios no adecuados, en el contexto de la actual crisis económica la promulgación de la Ley 4/2013 aparece como una exigencia del art. 47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daño a los intereses privados que podría causar el levantamiento de la suspensión, se pone de manifiesto que, si en el incidente de mantenimiento o levantamiento de la suspensión del Decreto-ley se había recibido un total de ciento cincuenta solitudes de inicio del procedimiento de expropiación temporal por tres años del uso de la vivienda habitual, en el momento actual las solicitudes ascienden a 191. De ellas, se han inadmitido 41 por falta de cumplimiento de los requisitos legalmente establecidos y se han archivado seis, por lo que se están tramitando 144 solicitudes de personas que, con necesidad de vivienda, se encuentran en especiales circunstancias y a las que la suspensión operada por la invocación del art. 161.2 CE dejará desprotegidos.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 expone la insuficiencia de otras medidas alternativas, como la suspensión del lanzamiento que contempla le Ley estatal 1/2013, de 14 de mayo (por la rigidez de los requisitos establecidos y por lo limitado de la suspensión, dos años desde la entrada en vigor de la Ley y no desde la efectiva situación de lanzamiento), las medidas de asistencia social (por imposibilidad de obtener más recursos públicos a este efecto) o la utilización del parque público de viviendas de Andalucía (por estar plenamente optimizado en la actualidad).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cambio, se considera que el Estado no ha podido acreditar que sean reales las hipotéticas consecuencias que dice derivarse de la aplicación de la Ley en relación con el proceso de reestructuración del sector bancario y de la prima de riesgo. Por un lado, se alega que la carta del Director general adjunto de Asuntos Económicos y Financieros de la Comisión Europea, en representación de ésta, dirigida al Secretario de Estado de Economía y Apoyo a la Empresa del Ministerio de Economía y Competitividad no puede tener valor probatorio, pues es una mera carta y no un informe elaborado por los técnicos de la Comisión Europea, en la que la Comisión se abstiene de hacer un cálculo del efecto real que el Decreto-ley autonómico podría tener para el mercado inmobiliario y el sistema financiero en su conjunto. Por otro lado, se desgranan diversas objeciones contra el informe elaborado por la Sociedad de Gestión de Activos procedentes de la Reestructuración Bancaria (SAREB) sobre los impactos directos e indirectos que las medidas andaluzas impugnadas tendrán en los activos inmobiliarios gestionados en Andalucía: a) falta la firma del informe; b) la vivienda es una parte menor de la cartera de la SAREB, pues el ochenta por ciento son activos financieros; c) el porcentaje de viviendas vacías que corresponden a SAREB en Andalucía es solo uno por ciento del total; d) no se distingue a estos efectos entre el régimen de vivienda libre y protegida; e) los pretendidos daños a la SAREB son daños a los intereses privados de terceros, no a los intereses públicos, pues el Estado participa de forma esencial pero no mayoritaria. Se arguye que hacer recaer el pretendido daño a los intereses generales en una doble hipótesis para terminar en un “quizás” (se podrían causar cuantiosas pérdidas para la SAREB, lo que podría suponer nuevas exigencias de capitalización para las entidades privadas partícipes de la SAREB, que quizás debiera sufragar el Fondo de reestructuración ordenada bancaria), no parece un argumento muy contundente a la hora de afirmar el daño a los intereses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que conforme a la doctrina constitucional corresponde al Estado demostrar o, al menos, razonar consistentemente la existencia de perjuicios de imposible o difícil reparación, descarta los planteamientos que sustentan el recurso. Las medidas que contempla la Ley, particularmente el régimen sancionador y la expropiación de uso temporal por tres años de inmuebles deshabitados, no son capaces de alterar el sistema financiero e incluso la prima de riesgo española. Medidas equivalentes no han provocado una reacción contraria o de notoria preocupación en la Comisión Europea. Y se aportan sendos informes elaborados por expertos y profesores universitarios en la materia para rebatir desde la teoría económica cuanto se asevera en el informe de SAREB. De uno de los informes destaca la conclusión de que las medidas contempladas pueden tener un efecto muy positivo en el equilibrio del sector financiero y de la economía en general, por relanzar el mercado de viviendas de alquiler. Del otro, que el recurso, si bien se apoya en gran parte en el informe de estabilidad financiera publicado por el Banco de España con fecha de noviembre de 2012, argumentando en esencia lo delicado de la situación de las entidades de crédito españolas y del sistema financiero en general, hace caso omiso de una serie de acontecimientos relevantes: la ingente cantidad de recursos públicos puestos a disposición del sector financiero, el fin del proceso de rescate declarado por el Eurogrupo el 14 de noviembre de 2013, los beneficios obtenidos por los principales bancos españoles reflejados en sus informes trimestrales, y las perspectivas positivas para el futuro del sector bancario, elaboradas por el propio Banco de España en su último informe de estabilidad financiera de noviembre de 2013; en suma, el recurso hace referencia a una situación económica que no se corresponde con la realidad actual, así como a situaciones de incertidumbre que han sido despejadas por los propios acontecimientos.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24 de febrero de 2014 la Letrada del Parlamento de Andalucía presentó alegaciones interesando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acuerdo del Pleno de 27 de febrero de 2014 se concedió a las partes un plazo de cinco días para exponer lo que consideraren conveniente acerca del mantenimiento o levantamiento de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el día 5 de marzo de 2014 la Letrada de la Junta de Andalucía solicitó de nuevo el levantamiento de la suspensión antes del transcurso del plazo de cinco, reiterando alegaciones similares a las ya formuladas al respecto en el escrito de oposición al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con fecha 10 de marzo de 2014, evacuó el trámite conferido interesando el mantenimiento de la suspensión,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88/2008, de 2 de abril, FJ 2, con cita de otros). En fin, ha de procederse a considerar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Así estima indudable que lo que habrá de dilucidarse es si la hipótesis que formula respecto a la probabilidad de los perjuicios que ocasionaría la aplicación de la norma recurrida está lo suficientemente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que la Ley 4/2013 tiene un contenido idéntico al Decreto-ley 6/2013 que lo precede, por lo que los tres informes que aporta (elaborados por el Ministerio de Economía y Competitividad, el Banco de España y la SAREB) tienen también el mismo contenido. La mejora económica a la que se refieren las alegaciones se debe en parte a las medidas adoptadas por el Gobierno, y en cualquier caso no pueden minimizar los perjuicios al interés general que puede causar el levantamiento de la suspensión acordada. Y respecto al informe de la SAREB señala el carácter público del proyecto de dicha sociedad destinada a atender un objetivo de interés general tan importante para España como el saneamiento del sistema financiero. A este respecto el Abogado del Estado afirma que el levantamiento de la suspensión podría acarrear perjuicios de muy difícil reparación por cuanto afecta de modo directo y expreso a la finalidad y actividad de SAREB, cuyo éxito es garantía de que la reestructuración de las entidades de crédito que se ha realizado en los últimos meses se realiza mediante un adecuado reparto de costes y minimizando el riesgo para los contribuyentes.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informe del Banco de España señala que “para una valoración del impacto potencial de esta medida sería necesario un conjunto de datos de los que no se dispone en este momento” (número de personas que podrían beneficiarse de la medida de expropiación forzosa temporal, el importe del justiprecio que recibiría la entidad de crédito, y la rentabilidad esperada para la entidad de crédito si pudiera disponer libremente de la vivienda en los próximos tres años, incluyendo la posibilidad de enajenarla). Por ello, ante la imposibilidad de un análisis cuantitativo, se afirma realizar un análisis serio y profundo de naturaleza cualitativa, que se centra en el impacto potencial para el sector bancario.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que el Estado ya ha reaccionado ante la realidad que dice abordar la Ley andaluza (primero, mediante el Real Decreto-ley 27/2012, de 15 de noviembre, derogado tras ser tramitado como ley por la Ley 1/2013, de 14 de mayo, de medidas para reforzar la protección a los deudores hipotecarios, reestructuración de deuda y alquiler social, y, segundo, mediante el convenio firmado por el Gobierno y las entidades de crédito para la creación de un fondo social de viviendas), produciéndose por tanto una duplicidad de normas para perseguir efectos similares con la consiguiente inseguridad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la invocación de la necesidad de preservar el derecho a la vivienda digna (art. 47 CE), se señala que la tacha de inconstitucionalidad se encuentra en la infracción de competencias estatales, como es la determinación del contenido esencial de la función social de la propiedad, lo que genera graves problemas para la implementación por el Estado de reformas de una enorme trascendencia en este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rechaza el argumento del daño que se incurriría a las ciento cuarenta y cuatro familias que se han acogido a las medidas andaluzas, pues ello equivaldría a otorgar primacía al mantenimiento de los hechos consumados sobre cualquier argumentación de índole jurídica. En cualquier caso, esos perjuicios no son tales pues la Junta de Andalucía, a través de sus competencias en servicios sociales, puede atender a las familias necesitadas con medidas sociales de alojamiento.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levantamiento de la suspensión de la norma impugnada supondrá, según alega, el incumplimiento de los compromisos internacionales asumidos por España, fundamentalmente del memorando de entendimiento firmado por España el 20 de julio de 2012, en el marco de la ayuda financiera otorgada a nuestro país por la Unión Europea, que está constituyendo la clave para la superación de la crisis del sistema financiero español y que exige comunicar a las instituciones europeas toda medida que se vaya a adoptar y que pueda tener un impacto en la estabilidad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Gobierno sostiene que las medidas propuestas pueden presentar un impacto significativo sobre la situación financiera de las entidades, el crédito hipotecario, el mercado de cédulas hipotecarias y en la adecuada finalización del proceso de reforma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primer lugar, el coste más claro y directo al que podrían tener que hacer frente las entidades es la imposición de sanciones por infracción grave consistentes en no dar habitación a las viviendas durante seis meses consecutivos. Pues bien, si se estima que en Andalucía las entidades disponen de 16.674 viviendas, si todas se encontrasen en una situación que diera lugar a infracción grave, ello supondría una multa total de 148.262.091 €. A ello se añadiría otros efectos indirectos, como la pérdida de valor de los inmuebles adjudicados. En definitiva, las medidas reducen la capacidad de las entidades de crédito de generar resultados positivos suficientes, lo que es imprescindible para mantener su solvencia y, con ello, la estabilidad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segundo lugar, se perjudica el valor de la garantía hipotecaria. En caso de ejecución el precio al que estaría dispuesto a pujar en la subasta sería menor, con lo que el valor efectivo de la garantía hipotecaria del préstamo también sería menor.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tercer lugar, la disminución del valor de la garantía y el empeoramiento de las condiciones en el mercado de cédulas hipotecarias se trasladará al mercado de concesión de créditos hipotecarios en un endurecimiento de las condiciones de contratación de dichos préstamos.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último lugar, se alega el impacto sobre la SAREB y la correcta culminación del proceso de restructuración y saneamiento del sistema financiero. Dada la amplitud con la que los deberes de comunicación de datos aparecen configurados en la Ley 4/2013, el elevado volumen de activos gestionados y el hecho de que la SAREB se encuentra todavía en proceso de recabar los datos relativos a los referidos activos, es más que probable que no pudieran satisfacerse todas las exigencias de este orden formuladas por la Administración autonómica. Como la SAREB es actualmente titular de 6.739 viviendas en Andalucía, podría enfrentarse a multas de hasta 57.411.000 €. Además, una parte importante de la cartera de SAREB está constituida por préstamos cuyo colateral está constituido asimismo por viviendas, sin que sea descartable que en un futuro próximo el derecho de crédito se transforme en su garantía como consecuencia de un procedimiento de ejecución. Y por lo que respecta a las obligaciones de comunicación de datos, si bien son costosas tanto para las entidades como para la SAREB, en el caso de esta última se está imponiendo la exigencia de declarar a la Administración autonómica los datos correspondientes al precio de transferencia, que no han sido hecho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alude al riesgo de generalizar las medidas impugnadas a todo el territorio nacional, riesgo cuya legitima ponderación ha aceptado el Tribunal Constitucional (ATC 87/2012, de 10 de mayo,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Letrada del Parlamento de Andalucía presentó sus alegaciones, que tuvieron entrada en el Registro General de este Tribunal el 14 de marzo de 2014, interesando el levantamiento de la suspensión que pesa sobre los preceptos impugnados por las razones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vez expuesta la doctrina constitucional sobre el levantamiento o el mantenimiento de la suspensión de la normativa autonómica (ATC 123/2013, de 21 de mayo, FJ 2), la Letrada del Parlamento analiza las circunstancias del caso. Afirma que la finalidad de la Ley 4/2013 es lograr la efectividad del principio rector de la política social y económica consagrado en el art. 47 CE, mediante el establecimiento de una serie de medidas para garantizar el derecho a disfrutar de una vivienda digna y adecuada de todas aquellas personas que, tras el estallido de la burbuja inmobiliaria y como consecuencia de la crisis, se han quedado sin vivienda, están a punto de quedarse sin ella, por no disponer de los medios económicos necesarios para hacer frente al pago de sus préstamos hipotecarios, o simplemente no pueden acceder a la misma por no poder hacer frente al pago del precio de compra o alquiler (apartados I y II de la exposición de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las medidas establecidas son muy variadas y van desde las que pretenden evitar los desahucios por impago de hipotecas de las personas que se encuentran en especial situación de emergencia social hasta las medidas de fomento, intermediación y policía, con las que se pretende incorporar al mercado inmobiliario a unos precios adecuados y razonables las miles de viviendas vacías y desocupadas que existen en Andalucía (más de setecientas mil, según la exposición de motivos). Los preceptos impugnados forman parte de un conjunto sistemático de medidas para garantizar el derecho a disfrutar de una vivienda digna.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perjuicios son, además, especialmente graves pues la vivienda es instrumento para la satisfacción de otros derechos fundamentales (como los recogidos en el art. 25.1 de la Declaración Universal de los Derechos Humanos, en los arts. 39, 40 y 43 CE y en el art. 10.3.14 del Estatuto de Autonomía para Andalucía: EAAnd) y para el cumplimiento de los principios del Estado social consagrado en el art. 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el alzamiento de la suspensión se justifica por el interés general en el despliegue de la eficacia de las leyes revestidas de una presunción de constitucionalidad, por la necesidad de que se cumplan los mandatos contenidos en los arts. 1, 10.1 y 47 CE y 25 EAAnd, y por los daños y perjuicios de reparación imposible o difícil que la suspensión produce a las personas físicas beneficiarias de las medidas.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continuación procede a un análisis individualizado de las medidas contempladas por la Ley impugnada. El mantenimiento de la suspensión de la eficacia de la disposición adicional primera afectará y perjudicará directamente al colectivo de personas incluidas en su ámbito de aplicación, que además de perder la propiedad de su vivienda habitual por no poder hacer frente al pago de sus hipotecas serán lanzadas de la vivienda y quedarán en riesgo de exclusión social. Es un daño real y efectivo que, cuando menos, afectará a las ciento cuarenta y cuatro familias cuyas solicitudes se están tramitando, así como a todas las que, aunque no han presentado solicitud todavía, reúnan los requisitos establecidos. Y dado que existe una directa relación entre la tasa de paro (muy alta en Andalucía) y los índices de morosidad, es muy probable que en los próximos meses y años aumente el número de personas que cumplan esos requisitos. Esos daños no se subsanan mediante la aplicación del art. 1 de la Ley 1/2013 del Estado, pues su ámbito de aplicación es más restringido, protege a menos familias y el tiempo de suspensión del lanzamiento es más limitado (dos años desde la entrada en vigor de la Ley) que la duración de la expropiación del uso de vivienda (tres años desde la fecha del lanzamiento).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resto de los preceptos impugnados tienen como finalidad movilizar el parque de viviendas libres existentes en Andalucía, incorporándolas al mercado de venta o arrendamiento a unos precios ajustados a la realidad y asequibles a los ciudadanos. Por ello, el alzamiento de la suspensión de su eficacia se hace especialmente necesario en los momentos actuales. Según los datos de los registros municipales de vivienda protegida, en Andalucía hay más de cincuenta mil unidades familiares que demandan una vivienda en arrendamiento, mientras que las viviendas públicas están ocupadas en su casi totalidad. Si se mantiene la suspensión del art. 25 de la Ley 1/2010, se elimina la descripción del supuesto de hecho de cuya concurrencia depende la aplicación de la mayoría de los artículos incluidos en los títulos VI y VII de la Ley 1/2010, que ni siquiera han sido impugnados, y se bloquea la aplicación de las medidas de fomento y policía articuladas en la Ley para potenciar y asegurar el acceso a una vivienda digna. Lo mismo cabe decir en relación con el art. 1.3 de la Ley 1/2010, pues este precepto, al delimitar el contenido del derecho de propiedad de la vivienda de acuerdo con su función social, actúa como soporte de todas las medidas establecidas en la Ley 4/2013 para asegurar la efectividad del principio rector de la política social y económica establecida en el art. 47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la suspensión del art. 53.1 a) de la Ley 1/2010 produce perjuicios evidentes para la consecución del interés general. El precepto tipifica como infracción administrativa el “no dar efectiva habitación a las viviendas en los términos establecidos en el artículo 25” cuando su titular sea una persona jurídica. Si se mantiene la suspensión, se estará debilitando el régimen sancionador de la Ley y se estará eliminando una de las medidas fundamentales con las que ésta tratar de incentivar que las personas jurídicas (pues éstas suelen utilizar la vivienda como un bien de inversión) saquen al mercado de venta o arrendamiento las viviendas de su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el contrario, el alzamiento de la suspensión de la eficacia de los preceptos recurridos no produce los daños que se alegan por el Estado, ni tienen la gravedad y consistencia necesarias para prevalecer sobre la presunción de legitimidad de las disposiciones impugnadas y sobre los intereses públicos y particulares. Sus conclusiones se fundamentan en datos extraídos de los informes del Banco de España para los años 2008, 2009 y 2012; en una carta dirigida al Secretario de Estado del Ministerio de Economía y Competitividad por el Director General Adjunto de Asuntos Económicos y Financieros de la Comisión Europea y en un informe que se atribuye a la SAREB. Sin embargo, ninguno de estos documentos es suficiente para acreditar los graves efectos sobre la política económica general del Estado o la realidad de los daños que se imputan a las disposiciones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datos extraídos de los informes del Banco de España, se señala que el panorama económico y financiero que describen ha quedado superado. Así lo demuestran los datos que constan en el informe de estabilidad financiera del Banco de España de 2013. La prima de riesgo ha bajado y en el mes de enero de 2014 ha concluido el programa de asistencia financiera, acordado en julio de 2012, después de que las valoraciones de la Comisión Europea, el Banco Central Europeo y el Fondo Monetario Internacional hayan certificado el cumplimiento de las condiciones recogidas en el memorando de entendimiento.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carta dirigida al Secretario de Estado del Ministerio de Economía y Competitividad por el Director General Adjunto de Asuntos Económicos y Financieros de la Comisión Europea no debería ser tomada en consideración para mantener la suspensión de las normas impugnadas, ya que solo expresa la dudas y preocupaciones que despierta el contenido del Decreto-ley 6/2013 (cuyos preceptos reproduce la Ley ahora impugnada). Por ello resulta aplicable la reiterada doctrina del Tribunal constitucional según la cual las meras hipótesis no confirmadas no pueden prevalecer, en la ponderación propia de este incidente, sobre la presunción de inconstitucionalidad de que goza la norma impugnada (AATC 123/2013 y 154/2013, FFJJ 4 y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informe que se atribuye a la SAREB también carece del necesario valor probatorio de la realidad de los perjuicios invocados por el Estado, ya que carece de fecha, de firma, y no permite determinar la persona que lo realiza o lo encarga, ni el carácter oficial del mismo. En aplicación de la doctrina sentada en el ATC 238/2012, FJ 3, no debe ser tenido en cuenta. Además, la SAREB es una sociedad anónima en cuyo capital participan mayoritariamente entidades privadas y cuya misión consiste en gestionar y vender los activos recibidos, tratando de obtener el máximo valor por ellos para cumplir los compromisos contraídos con sus accionistas e inversores. Por ello, cualquier informe que la misma pueda emitir sobre los daños causados en su cartera por las disposiciones impugnadas será un informe de parte destinada a defender los intereses de accionistas e inversores privados. Incluso aunque se admitiera su valor probatorio, el informe se limita a realizar afirmaciones basadas en hechos futuros o en meras previsiones o presunciones, desprovistas del necesario apoyo en datos actuales y contrastados que permitan acreditar los daños que se invocan.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todo caso, los perjuicios alegados quedan desvirtuados por los informes aportados en el presente incidente por la Junta de Andalucía junto a su escrito de alegaciones, a los que se remite. La Letrada del Parlamento subraya que las normas impugnadas en ningún caso tienen el impacto negativo que denuncia el Estado, ni sobre la reestructuración del sector bancario, ni sobre la política económica general del Gobierno, ni desde luego sobre la actividad o sobre el valor de los activos de la SAREB. Las normas han estado vigentes durante varios meses del año 2013, primero como consecuencia de la aprobación del Decreto-ley 6/2013, de 9 de abril, y después como consecuencia de la aprobación de la Ley 4/2013, impugnada en el presente recurso de inconstitucionalidad. A pesar de ello, las medidas impugnadas no han producido los daños y perjuicios que alega el Estado. Ha sido precisamente en el segundo semestre de 2013 cuando la prima de riesgo ha bajado considerablemente, cuando ha aumentado la confianza en los mercados, cuando se ha culminado la reestructuración del sector bancario y cuando se ha dado cumplimiento al memorando de entendimiento de julio de 2012. La vigencia de las disposiciones impugnadas tampoco ha afectado a la actividad de la SAREB en Andalucía, ni ha disminuido el valor de sus activos inmobiliarios en esta Comunidad Autónoma. Basándose en los datos de la sociedad de tasación TINSA y del Instituto Nacional de Estadística, el informe aportado como documento núm. 2 por la Junta de Andalucía señala que durante 2013 los precios de la vivienda registrados en Andalucía se han comportado de acuerdo con la media nacional, y que Andalucía ha sido una de las tres Comunidades Autónomas en las que ha aumentado el volumen de operaciones de compraventa de vivienda.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del art. 1 [en cuanto que da nueva redacción al art. 1.3 e introduce los arts. 25 y 53.1 a) en la Ley 1/2010, de 8 de marzo, reguladora del derecho a la vivienda en Andalucía)] y la disposición adicional primera de la Ley 4/2013, de 1 de octubre, de la Comunidad Autónoma de Andalucía de medidas para asegurar el cumplimiento de la función social de la vivienda, preceptos que se encuentran suspendidos en su aplicación como consecuencia de la invocación de los arts. 161.2 CE y 30 de la Ley Orgánica del Tribunal Constitucional (LOTC) al promoverse el recurso de inconstitucionalidad contra dichos preceptos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4/2013, de 1 de octubre, de la Comunidad Autónoma de Andalucía recoge los contenidos del Decreto-ley 6/2013, de 9 de abril, de medidas para asegurar el cumplimiento de la función social de la vivienda, con algunas modificaciones introducidas en el procedimiento legislativo que se inició tras su convalidación. El recurso del Presidente del Gobierno se dirige exclusivamente contra el art. 1, en cuanto que da nueva redacción al art. 1.3 e introduce los arts. 25 y 53.1 a) en la Ley 1/2010, de 8 de marzo, reguladora del derecho a la vivienda en Andalucía, así como contra la disposición adicional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nueva redacción del art. 1.3 de la Ley 1/2010 establece como “parte del contenido esencial del derecho de propiedad de la vivienda” “el deber de destinar de forma efectiva el bien al uso habitacional previsto por el ordenamiento jurídico, así como mantener, conservar y rehabilitar la vivienda con los límites y condiciones que así establezca el planeamiento y la legislación urbanística”. El nuevo art. 25 incluye la definición de viviendas deshabitadas y el nuevo art. 53.1 a) tipifica como infracción muy grave el no dar efectiva habitación a la vivienda en los términos establecidos en el artículo 25, siempre que el titular de la misma sea una persona jurídica. Por último, la disposición adicional primera de la Ley 4/2013 declara de interés social a efectos de expropiación forzosa de la cobertura de necesidad de vivienda de personas en especiales circunstancias de emergencia social. Dicha declaración habilita para la expropiación forzosa del uso de la vivienda objeto del mismo por un plazo máximo de tres años, a contar desde la fecha del lanzamiento acordado por el órgano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con apoyo en informes del Ministerio de Economía y Competitividad, del Banco de España y de la Sociedad de Gestión de Activos procedentes de la Sociedad de gestión de activos procedentes de la reestructuración bancaria (SAREB), sostiene que las medidas propuestas pueden presentar un impacto significativo sobre la situación financiera de las entidades, el crédito hipotecario, el mercado de cédulas hipotecarias y en la adecuada finalización del proceso de reforma financiera. En segundo lugar, rechaza el argumento del daño que se incurriría a las ciento cuarenta y cuatro familias que se han acogido a las medidas andaluzas, pues ello equivaldría a otorgar primacía al mantenimiento de los hechos consumados sobre cualquier argumentación de índole jurídica. Por último, alega que el levantamiento de la suspensión de la norma impugnada supondrá el incumplimiento de los compromisos internacionales asumidos por España, fundamentalmente del memorando de entendimiento firmado por España el 20 de julio de 2012, en el marco de la ayuda financiera otorgada a nuestro país por la Unión Europea, que está constituyendo la clave para la superación de la crisis del sistema financiero español y que exige comunicar a las instituciones europeas toda medida que se vaya a adoptar y que pueda tener un impacto en la estabilidad financiera. En virtud de todo ello, solicita que este Tribunal acuerde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las Letradas de la Junta y del Parlamento de Andalucía consideran que el Estado no ha podido acreditar que sean reales las hipotéticas consecuencias que dice derivarse de la aplicación de la Ley en relación con el proceso de reestructuración del sector bancario y de la prima de riesgo, y que el recurso hace referencia a una situación económica que no se corresponde con la realidad actual, así como a situaciones de incertidumbre que han sido despejadas por los propios acontecimientos. Para la representación procesal del Parlamento de Andalucía, el alzamiento de la suspensión se justifica por el interés general en el despliegue de la eficacia de las leyes revestidas de una presunción de constitucionalidad, por la necesidad de que se cumplan los mandatos contenidos en los arts. 1, 10.1 y 47 CE y 25 del Estatuto de Autonomía para Andalucía, y por los daños y perjuicios de reparación imposible o difícil que la suspensión produce a las personas físicas beneficiarias de las medidas, a las que ya se estaban tramitando sus solicitudes y a quienes pudieran presentarlas en el futuro. También afirma que ninguno de los documentos en los que se basan las conclusiones del Abogado del Estado sobre la entidad de los daños producidos es suficiente para acreditar los graves efectos sobre la política económica general del Estado o la realidad de los daños que se imputan a las disposiciones impugnadas. Por ello, solicitan que este Tribunal acuerde el levantamiento de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Antes de resolver el presente incidente cautelar debemos realizar algunas consideraciones preliminares: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primera consideración preliminar es que este incidente cautelar tiene autonomía respecto al procedimiento principal en el que se debe dilucidar la validez o invalidez de las normas legales recurridas. Una vez producida la suspensión por invocación del art. 161.2 CE por el Presidente del Gobierno, el mantenimiento o levantamiento de la suspensión de la eficacia de las disposiciones autonómicas impugnadas constituye una genuina medida procesal cautelar, cuya finalidad consiste en asegurar el objeto litigioso, evitando la producción de datos y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naturaleza propia, genuinamente cautelar, que caracteriza al incidente de suspensión delimita también el marco jurídico en el que debe desenvolverse. En primer lugar, la suspensión acordada cautelarmente tiene un carácter excepcional, pues las leyes gozan de la presunción de legitimidad, en cuanto expresión de la voluntad popular, mientras no se constate que han infringido la Constitución (por todos, ATC 277/2009, de 10 de diciembre, FJ 2). En segundo lugar, la decisión sobre la suspensión de la vigencia de las disposiciones impugnadas se debe desvincular plenamente de la decisión sobre la cuestión de fondo, que deberá ventilarse mediante sentencia (por todos, ATC 18/2007, de 18 de enero, FJ 5). En tercer lugar, los alegados perjuicios irreparables o de difícil reparación deben valorarse de forma individualizada en relación con cada uno de los preceptos cuya suspensión pretende mantenerse (AATC 87/1991, de 12 de marzo, FJ 2; 78/1997, de 22 de enero, FJ 2; y 75/2010, de 30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forma de sustanciar este tipo de incidentes de suspensión contamos también con doctrina reiterada. En el reciente ATC 298/2013, de 17 de diciembre, señalamos lo siguiente: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60/2013, de 26 de febrero, FJ 2; 122/2013, de 21 de mayo, FJ 2; 123/2013, de 21 de mayo, FJ 2; y 157/2013, de 11 de julio,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observación se refiere a que una pieza separada de suspensión sobre medidas legislativas muy similares a las del presente incidente ha sido resuelta recientemente por este Tribunal. En efecto, en el ATC 69/2014, de 10 de marzo, relativo al recurso de inconstitucionalidad núm. 6036-2013, nos pronunciamos sobre el mantenimiento de la suspensión de la eficacia de otra normativa autonómica que incluía medidas muy similares a las contenidas en la Ley 4/2013 del Parlamento de Andalucía. En la resolución del presente incidente cautelar aplicaremos el mismo juicio de relevancia de los perjuicios para el interés general que efectuamos en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continuación este Tribunal debe examinar si los perjuicios que el Abogado del Estado asocia al levantamiento de la suspensión son reales y efectivos y tienen suficiente entidad para prevalecer sobre la presunción de constitucionalidad de que gozan las normas legales y sobre los menoscabos de intereses públicos y privados que pueden seguirse del mantenimiento de la suspensión, todo ello sin prejuzgar el fondo de la cuestión planteada que no es el objeto de esta pieza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hay que analizar el alegado riesgo para el buen funcionamiento y estabilidad del sistema financiero. Aunque ya la doctrina constitucional ha puesto de relieve que se trata de un interés general y público (AATC 12/1987, de 13 de enero; 238/1987, de 26 de febrero; 29/1996, de 30 de enero, y 75/2010, de 30 de junio) distinto de los intereses particulares de las entidades que integran el sector financiero (ATC 123/2013), debemos recordar lo que dijimos en el ATC 69/2014, FJ 5: “en el actual contexto de crisis económica y social el Gobierno del Estado ha hecho de la estabilidad del sistema financiero español uno de los ejes centrales de la política económica general, como lo acredita, junto a varias normas de regulación de las entidades de crédito, el profundo proceso de reestructuración bancaria que ha diseñado y en el que participa activamente mediante la inversión directa de fondos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ha invocado en el presente incidente perjuicios de imposible o difícil reparación idénticos a los alegados en el incidente que resolvió el Auto de 10 de marzo de 2014, y los ha fundamentado en los mismos informes o en informes de las mismas instituciones especializadas, a los que ha añadido un informe de la SAREB. Teniendo las medidas impugnadas el mismo contenido, siendo idénticos los perjuicios irreparables o de difícil reparación alegados por el Abogado del Estado y acreditándose tales perjuicios por los mismos o por similares informes realizados por las mismas o por similares instituciones especializadas, la conclusión a la que debemos llegar en el presente incidente ha de ser la misma que la que alcanzamos en el Auto de 10 de marzo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ATC 69/2014 alcanzamos la conclusión de que “dichas actividades, que según los informes reseñados pueden sufrir un importante impacto derivado de las medidas autonómicas cuya suspensión ahora consideramos, tienen una conexión estrecha con el cumplimiento por España de sus compromisos internacionales en materia de ayudas de Estado, lo que resulta relevante en esta sede a la luz de la doctrina afirmada en el ATC 108/2011, de 5 de julio, donde entendimos que la credibilidad de España en una situación económica de desconfianza como la presente constituía un interés público que justificaba el mantenimiento de la suspensión de una ley autonómica”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en el ATC 69/2014 concluimos que el levantamiento de la suspensión de los preceptos impugnados produciría perjuicios ciertos para los intereses públicos, por cuanto que “tales preceptos inciden en el sistema financiero en su conjunto, generando, en una situación como la presente de excepcional desconfianza en el sistema crediticio globalmente considerado, un menoscabo para el interés público que supone la estabilidad de dicho sistema y, en la medida que pueda poner en riesgo que la reestructuración bancaria apoyada con dinero público en virtud de un régimen especial de ayudas de Estado se desarrolle en los términos autorizados, da lugar a una afectación igualmente cierta para el cumplimiento por España de sus compromisos internacionales, intereses prevalentes en la cuestión examinada y claramente distintos de los perjuicios reparables que pudieran sufrir las entidades de crédito, singularmente consideradas”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presente incidente las representaciones procesales de la Junta y del Parlamento de Andalucía han rechazado ciertamente la validez o la suficiencia de los documentos utilizados por el Abogado del Estado para fundamentar los daños alegados. Sin embargo, en el ATC 69/2014 señalamos que, para analizar si las medidas autonómicas son aptas para poner en riesgo el interés público en que consiste la estabilidad del sistema financiero, “hemos de atender de un modo principal a los juicios de las instituciones especializadas en la materia e independientes de las partes, siempre claro está que no sean desvirtuados por otros datos o análisis aportados por quienes pretendan el levantamiento de la suspensión” (FJ 4). Entonces reconocimos valor probatorio a los informes alegados por el Abogado del Estado, en cuanto que “la Comisión Europea, así como el Banco Central Europeo y el Fondo Monetario Internacional que también han participado en su elaboración, son instituciones especializadas en la materia e independientes de las partes” (FJ 5). También reconocimos valor probatorio a los informes del Banco de España, “sin perjuicio de que podamos separarnos de él si apreciásemos que aparece contrarrestado por otros elementos probatorios”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la consideración de los perjuicios apreciados en los referidos informes tampoco puede acogerse la objeción planteada por las representaciones procesales de la Junta y del Parlamento de Andalucía de que el programa de asistencia financiera, acordado por el Eurogrupo el 9 de julio de 2012 con una duración de dieciocho meses, ha llegado ya a su fin por el transcurso de su periodo temporal y el cumplimiento de las condiciones impuestas, pues “las medidas que materializan tal condicionalidad, lejos de estar consumadas, siguen vigentes y desplegando sus efectos, los cuales han de sujetarse a los compromisos asumidos por España dentro de la Unión Europa, en particular en lo relativo a las ayudas de Estado” (Auto de 10 de marzo de 2014,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lo que respecta a los perjuicios asociados al mantenimiento de la suspensión, las representaciones procesales de la Junta y del Parlamento de Andalucía han alegado la existencia, en el corto periodo de vigencia de las disposiciones impugnadas, de ciento cuarenta y cuatro solicitudes admitidas a trámite que podrían acceder a la expropiación temporal del uso de la vivienda. También alegan que el colectivo social vulnerable que se puede ver beneficiado por esa medida es potencialmente superior, en especial dada la relación entre morosidad y tasa de paro, que es especialmente alta en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nuestro ATC 69/2014 señalamos que los perjuicios asociados al mantenimiento de la suspensión de medidas como las contempladas en la Ley 4/2013 “resultan notablemente reducidos porque el Estado también ha dispuesto normas que atienden a esos intereses”, que “con su existencia disminuyen el menoscabo que para los intereses invocados por las partes que pretenden el levantamiento trae consigo el mantenimiento de la suspensión” (FJ 9). Se trata de la Ley 1/2013, de 14 de mayo, de medidas para reforzar la protección a los deudores hipotecarios, reestructuración de deuda y alquiler social, en la que se contempla, entre otras medidas, la suspensión inmediata y por un plazo de dos años de los desahucios de las familias que se encuentren en una situación de especial riesgo de exclusión. Asimismo, con base en el mandato contenido en la disposición final primera del Real Decreto-ley 27/2012, de 15 de noviembre, el Gobierno y las entidades de crédito firmaron un convenio para la creación de un fondo social de viviendas, propiedad de las entidades, ofrecidas en régimen de alquiler social a personas en situación de especial vulnerabilidad que hubieran sido desalojadas de su vivienda habitual por el impago de un préstamo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suma, procede reiterar la misma conclusión que extrajimos en el ATC 69/2014, FJ 10, en el cual afirmamos que “[l]os razonamientos expuestos permiten concluir que en la ponderación de los intereses en presencia, y subrayando la especial relevancia de la medida de política económica general de estabilidad del sistema financiero, que tiene un indudable interés público prevalente, y la proyección de esta materia en el contexto internacional, apreciemos que debe mantenerse la suspensión de los preceptos impugnados, sin que la medida adoptada implique, en este caso concreto, un relevante menoscabo del resto de los intereses en presencia”.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art. 1 de la Ley 4/2013, de 1 de octubre, de la Comunidad Autónoma de Andalucía de medidas para asegurar el cumplimiento de la función social de la vivienda, por el que se da nueva redacción al art. 1.3 de la Ley 1/2010, de 8 de marzo, reguladora del derecho a la vivienda en Andalucía y se introducen en ella los arts. 25 y 53.1 a), y de la disposición adicional primera de la mencionada Ley 4/2013.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la Magistrada doña Adela Asua Batarrita, el Magistrado don Luis Ignacio Ortega Álvarez, la Magistrada doña Encarnación Roca Trías y los Magistrados don Fernando Valdés Dal-Ré y don Juan Antonio Xiol Ríos, respecto del Auto dictado en el recurso de inconstitucional núm. 7357-2013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decisión mayoritaria emitimos nuestro Voto particular discrepante, anunciado en la deliberación.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de nuestra discrepancia son, en lo sustancial, las mismas que las que expusimos en el Voto particular que formulamos en el ATC 69/2014, de 10 de marzo, por el que el Tribunal acordó mantener la suspensión de la eficacia de la Ley 24/2013, de 2 de julio, de medidas urgentes para garantizar el derecho a la vivienda en Navarra impugnada a través del recurso de inconstitucionalidad núm. 6036-2013. Nos ratificamos en el contenido de aquel voto, pues este incidente de suspensión se resuelve aplicando la doctrina establecida en el Auto citado.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Existe, ciertamente, algún matiz diferencial entre los dos casos. Así, en el presente caso, según aduce la Junta de Andalucía en sus alegaciones, el porcentaje de viviendas vacías que corresponde a la Sociedad de gestión de activos procedentes de la reestructuración bancaria en Andalucía es de un 1 por 100 del total, por lo que las medidas previstas en la Ley impugnada no pueden incidir de forma relevante en el proceso de reestructuración bancario español.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 como estima el Auto impugnado, a nuestro juicio erróneamente, procede mantener la suspensión, hubiera resultado obligado considerar que no toda la regulación contenida en los preceptos impugnados de la Ley 4/2013 [su art. 1, en cuanto que da nueva redacción al art. 1.3 e introduce los arts. 25 y 53.1 a)] en la Ley 1/2010, de 8 de marzo, reguladora del derecho a la vivienda en Andalucía, y la disposición adicional primera) son susceptibles de poner en riesgo el funcionamiento del sistema financiero, pues tales preceptos contienen determinaciones cuya eficacia no pone en peligro su estabilidad ni su buen funcionamiento. La nueva redacción del art. 1.3 de la Ley 1/2010 se refiere al “contenido esencial del derecho de propiedad” e incluye en él el deber de destinar el bien al uso habitacional previsto en el ordenamiento jurídico. Y el nuevo art. 25 de la Ley 1/2010 contiene una definición de vivienda desocupada. Ni la definición del contenido esencial del derecho de propiedad ni la del concepto de vivienda desocupada son susceptibles, por sí solas, de ocasionar ningún perjuicio de imposible o difícil reparación, por lo que no debería haberse mantenido la suspensión respecto del mismo. Tales previsiones legales no son en sí mismas susceptibles de provocar una grave perturbación al sistema financiero, antes bien son la expresión de principios y fines generales a los que las Administraciones pueden y deben atender por diferentes caminos.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Consideramos, en suma, que debió levantarse la suspensión de la disposición impugnada y que, en todo caso, los perjuicios apreciados, de ser ciertos, no permitirían suspender la eficacia de los preceptos impugnados en su totalidad, sino solo la de aquellos que, por la regulación que contienen, sean capaces de producir tales efectos. De ahí que, a nuestro juicio, el Auto hubiera debido analizar cada una de las normas que se impugnan del art. 1 y la disposición adicional primera de la Ley 4/2013 recurridos para determinar qué prescripciones legales pueden provocar esos graves perjuicios de imposible o difícil reparación que justifican el mantenimiento de la suspensión de su vigencia.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ocho de abril de dos mil catorce.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