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1771-2012, promovido por don Ramón Aldasoro Magunazelaia, representado por el Procurador de los Tribunales don Javier Cuevas Rivas y asistido por el Letrado don Atxarte Salvador Navarro, contra la Sentencia núm. 45/2012, de la Sala de lo Penal del Tribunal Supremo, de 3 de febrero, que resuelve el recurso de casación núm. 11441-2011, presentado contra el Auto de la Sección Segunda de la Sala de lo Penal de la Audiencia Nacional de 1 de junio de 2011, sobre impugnación de liquidación de condenas acumuladas, dictado en la ejecutoria núm. 37-2001.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26 de marzo de 2012, don Javier Cuevas Rivas, Procurador de los Tribunales, en nombre y representación de don Ramón Aldasoro Magunazelaia, interpuso recurso de amparo contra las resoluciones que se citan en el encabezamiento, al considerar que han vulnerado sus derechos fundamentales a la libertad y seguridad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ejecutoria núm. 37-2001, en la que se dictó la resolución judicial impugnada (luego ratificada en casación), la Sección Segunda de la Sala de lo Penal de la Audiencia Nacional acordó la acumulación post-sentencia de tres causas seguidas contra el demandante, fijando en treinta años de prisión el límite máximo de cumplimiento de las condenas impuestas en las mismas (Auto de 28 de octubre de 2004). El demandante había sido detenido en Estados Unidos el 2 de diciembre de 1997 y quedó a disposición de las autoridades judiciales españolas el 16 de diciembre de 1999, como consecuencia de su extradición. Contra él se siguieron tres causas distintas por delitos de terrorismo en las que, desde su detención, permaneció en prisión provisional hasta la firmeza de sus respectivas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causas acumuladas (causa A) —rollo de Sala núm. 120-1988, sumario núm. 74-1988, Sección Segunda— el demandante de amparo permaneció en prisión provisional desde el 17 de diciembre de 1999 hasta el 13 de agosto de 2001, fecha en la que pasó a la condición de penado, mientras permanecía preventivo en las otras dos causas. Fue condenado en esta causa como autor de varios delitos de terrorismo a penas que suman sesenta y siete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rollo de Sala núm. 44-1988 (causa B, también de la Sección Segunda), el demandante permaneció en prisión provisional desde el 17 de diciembre de 1999 hasta el 24 de octubre de 2001, fecha en la que pasó también a la condición de penado por esta causa, condición que ya tenía en la causa A desde meses antes. Continuó preventivo en la causa C. Fue condenado por estos hechos como autor de varios delitos de terrorismo a penas que suman treinta y nueve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tercera de las causas (causa C), seguida ante la Sección Tercera de la Sala de lo Penal de la Audiencia Nacional (rollo de Sala núm. 51-1988), el demandante permaneció en prisión provisional desde el 17 de diciembre de 1999 hasta el 19 de diciembre de 2001, fecha en la que pasó también a la condición de penado, que ya tenía en las dos causas anteriores. Fue condenado como autor de varios delitos de terrorismo a penas que suman más de sesenta y dos años de prisión (dos penas de veintiséis años y ocho meses, y una de nueve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responsable de ejecutar estas condenas, la Sección Segunda de la Sala de lo Penal de la Audiencia Nacional, una vez recabada información del centro penitenciario donde había permanecido internado desde su detención, ordenó practicar la liquidación de las condenas impuestas en las tres causas acumuladas. La propuesta fue aprobada por providencia de 17 de febrero de 2005. La liquidación de condena indicó que había de cumplir treinta años de privación de libertad (10.950 días), que para su cumplimiento le eran abonables 1.351 días de prisión preventiva —desde el 2 de diciembre de 1997 al 13 de agosto de 2001, periodo de tiempo que se correspondía con el transcurrido desde que fue detenido en Estados Unidos hasta que se declaró la firmeza de la condena que le fue impuesta en la causa A—. Le restaban por extinguir 9.599 días de prisión, por lo que, iniciado su cumplimiento en calidad de penado el 14 de agosto de 2001, las condenas impuestas quedarían cumplidas el 24 de noviembre de 2027.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 de julio de 2010 el demandante de amparo presentó escrito ante la Sección Segunda de la Sala de lo Penal de la Audiencia Nacional en el que, tras invocar la jurisprudencia de este Tribunal (SSTC 19/1999, 71/2000 y 57/2008), solicitó la modificación de su liquidación de condena a fin de que se le abonara íntegro el “tiempo de prisión preventiva sufrida en las diferentes causas a las que había estado sujeto” o, alternativamente, “y estando acreditado que durante el periodo desde el 6 de agosto de 2001 hasta que adquirió firmeza la Sentencia núm. 27/2001”, dictada en el rollo núm. 51-1988, “mi representado ha compartido su situación de prisión provisional con la de cumplimiento de la pena, no pudiendo acceder a la situación de penado hasta firme la Sentencia en este procedimiento, y por lo tanto impidiendo a mi representado durante ese periodo acceder a los derechos que otorga la condición de penado, corresponde abonar a mi representado dicho periodo”. Es decir, solicitó que para el cumplimiento de las causas acumuladas se le abonara adicionalmente el lapso de tiempo en el que simultaneó la condición de penado en la causa A con la de preso preventivo en la causa B y en la causa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petición de modificación de la liquidación de condena fue desestimada mediante Auto de 1 de junio de 2011, que denegó la pretensión de abono planteada. La desestimación se justificó señalando que cada período de prisión provisional acordado debía abonarse para el cumplimiento de la condena impuesta en la causa en la que se adoptó como medida cautelar, entendiendo que, tras haberse acordado la “refundición” de las tres causas, “aun aplicando la doctrina establecida en la STC 57/2008, teniendo en cuenta que la aplicación del doble cómputo habría que hacerla en cada una de las condenas, el límite de los 30 años permanece invariable, y ello al margen de que se practicara nueva liquidación teniendo en cuenta la prisión preventiva en la causa de su referencia o en cualquier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interpuso recurso de casación, reiterando ante el Tribunal Supremo los argumentos planteados en su petición. La solicitud de casación fue desestimada por Sentencia núm. 45/2012, de 3 de febrero. La Sala de lo Penal del Tribunal Supremo desestimó la impugnación al ratificar que el tiempo de prisión provisional debe abonarse en la causa en que se decretó y que tal regla no sufre modificación por el hecho de que distintas condenas dictadas en distintas causas hayan sido posteriormente acumuladas y se les haya fijado un límite máximo de cumplimiento. Por ello, en este caso, dada la duración de las penas impuestas en la primera de las causas —que sumaban mucho más de treinta años de privación de libertad—, la petición de abono de prisión provisional en las otras causas acumuladas no variaría la fecha de extinción de condena, lo que justificaba no modificar la liquidación de condena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le fue notificada la Sentencia núm. 45/2012 del Tribunal Supremo, el demandante solicitó su nulidad con fecha 21 de febrero de 2012. La solicitud de nulidad de actuaciones fue resuelta y desestimada mediante Auto de 21 de marzo de 2012, que fue notificado al recurrente el día 30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solicitud de amparo en la supuesta vulneración de sus derechos fundamentales a la libertad y seguridad (art. 17.1 CE) y a la tutela judicial efectiva (art. 24.1 CE). Considera que las resoluciones recurridas prolongan indebidamente su estancia en prisión pese a otorgar valor, a efectos de cumplimiento, a la prisión provisional sufrida al tiempo que se encontraba cumpliendo una pena de prisión, porque establecen que dicho computo no se realiza sobre el límite máximo de cumplimiento de las penas acumuladas, sino que se irá computando a medida que se vayan cumpliendo las penas correspondientes impuestas en cada una de las causas, de tal manera que, en la práctica, dicha doctrina viene a establecer la posibilidad de que existan períodos de prisión provisional efectivamente sufridos por el reo que no se lleguen nunca a computar, por quedar extinguidas las penas impuestas en las causas en que la medida cautelar fue acordada tras haber alcanzado antes el límite temporal máximo de cumplimiento de las mismas, una vez acumuladas. En su opinión, la dicción del art. 58 del Código penal, completada con la interpretación que de dicho precepto ha hecho el Tribunal Constitucional en sus SSTC 19/1999, 71/2000 y 57/2008, obliga al Tribunal encargado de la ejecución a abonar el tiempo de prisión provisional para el cumplimiento de la pena impuesta en la causa en que se decretó, aunque haya coincidido temporalmente con el cumplimiento de otras penas en causas distintas y aunque dicho periodo coincidente lo haya sido en causas que después se cumplen sucesivamente de forma acumulada, en cuyo caso los períodos abonables deben descontarse del límite máximo de cumplimiento. Por ello, reitera, debe reconocérsele el derecho a que le sea abonado también para el cumplimiento de sus condenas acumuladas el tiempo de prisión provisional transcurrido desde el 6 de agosto de 2001 hasta la fecha en que alcanzó firmeza la condena impuesta en la tercera de las causas que extingue.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2012, la Sala Segunda de este Tribunal acordó la admisión a trámite del recurso de amparo y, en aplicación de lo previsto en el art. 51 de la Ley Orgánica del Tribunal Constitucional (LOTC), dirigir atenta comunicación a la Sala de lo Penal del Tribunal Supremo y de la Audiencia Nacional, a fin de que, en el plazo de diez días, remitieran certificación o fotocopia adverada de las actuaciones correspondientes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8 de marzo de 2013, de su Secretaría de Justicia,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no formuló alegaciones. Sí lo hizo el Ministerio Fiscal, mediante escrito registrado el día 26 de abril de 2013. En él, tras exponer los antecedentes procesales del caso, pone de relieve la eventual existencia de un óbice procesal que justificaría la inadmisión de la solicitud de amparo por prematura, por cuanto, en el momento en que fue presentada la demanda de amparo —el 26 de marzo de 2012— el recurrente no conocía que cinco días antes —mediante Auto de 21 de marzo— el Tribunal Supremo había desestimado su solicitud de nulidad de actuaciones, ya que le fue notificado el 31 de marzo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en cuanto al fondo de la pretensión de amparo, procede a examinar la alegada vulneración conjunta del derecho a la libertad (art. 17.1 CE) y a la tutela judicial efectiva que se anuda a la decisión de no incluir como abonables en la tercera liquidación de condena, realizada tras la acumulación jurídica de las tres causas, todos los períodos de prisión preventiva padecidos y, específicamente, el doble cómputo de los períodos de tiempo en los que el demandante estuvo simultáneamente en condición de penado y preventivo en las tres causas que han sido acumuladas. Considera que la pretensión de amparo debe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de este Tribunal recogida en las SSTC 19/1999, 57/2008, 92/2012 y 158/2012, relacionada con la aplicación judicial de la obligación legal de abono, para el cumplimiento de la condena impuesta en una causa, del período de prisión preventiva decretado en la misma (arts. 33 del Código penal de 1973 y 58 del Código penal de 1995), el Ministerio Fiscal constata que, en el presente caso, existen periodos de tiempo no abonados en los que el demandante simultaneó la condición de penado en la causa A y preso preventivo en las causas B y C (concretamente, ciento veintinueve días: desde el 14 de agosto al 20 de diciembre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tanto el art. 33 Código penal de 1973 como el art. 58 del Código penal de 1995 (antes de su reforma por la Ley Orgánica 5/2010) “contemplaban el abono del tiempo de prisión provisional para reducir la pena privativa de libertad, con la previsión incluso de la posibilidad de abonar en otra causa el tiempo de libertad sufrido”. Destaca que la ley no contiene previsión alguna acerca de la forma de abono en el caso de que —tras su acumulación procesal post-sentencia— existan varias causas, varios períodos de prisión provisional y varias penas (arts. 70.2 del Código penal de 1973 y 76 del Código penal de 1995). Sin embargo, los órganos judiciales han seguido en este caso el mismo criterio jurídico que está en la base de la STS 197/2006, de 28 de febrero, acerca el cómputo de la redención de penas por el trabajo. Según el mismo, en el caso de cumplimiento sucesivo de penas, la fijación de un límite temporal máximo no configura una nueva pena autónoma que viene a sustituir a las diversas que sucesivamente se cumplen, por lo que el abono de la prisión provisional no ha de deducirse del límite temporal máximo, sino que habrá de hacerse sobre la pena impuesta en cada causa a medida que éstas se vayan cumpliendo por orden de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modo de aplicación de la obligación legal de abono de la prisión provisional acordado por las resoluciones cuestionadas en amparo puede provocar en algunos casos de penas de larga duración acumuladas la “eliminación de periodos de privación de libertad sufridos en prisión preventiva para su abono al cumplimiento de la pena”, dado que existen penas que nunca se cumplirán por lo que el tiempo de privación de libertad cautelar nunca será deducido del cumplimiento de la condena. Afirma que si tal situación llegara a producirse significaría una aplicación del art. 58 del Código penal contraria a su propio tenor y finalidad, que vulneraría el art. 17 CE al establecer una privación de libertad cuyo abono se sustrae del cómputo de la pena —del tiempo efectivo de cumplimiento— sin ninguna cobertura legal. Como consecuencia de lo anterior, entiende que el cumplimiento efectivo máximo resultaría ampliado por aquellos períodos de privación de libertad que no han podido computarse en las causas que se han de declarar extinguidas al alcanzar el límite máximo, por lo que dichos períodos de privación de libertad no abonados resultan añadidos —de hecho— al tiempo máximo de cumplimiento, desatendiendo así el mandato del art. 76 del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aplicando los anteriores criterios al caso, el Ministerio Fiscal concluye que de aceptarse el criterio judicial cuestionado “el tiempo efectivo de cumplimiento quedará superado por los días de privación de libertad correspondientes que han quedado eliminados del cómputo por virtud del cumplimiento y abono sucesivo de cada prisión a cada pena”. Por lo expuesto, concluye, la interpretación judicial cuestionada limita en este caso la aplicación de la norma penal reguladora respecto a la deducción de los períodos de privación de libertad por prisión preventiva de la pena a la que corresponden, eliminando parte de ellos, sin cobertura legal, lo que provoca que se supere el límite temporal máximo de cumplimiento efectivo y, con ello, entiende que las resoluciones cuestionadas en amparo han vulnerado el derecho a la libertad personal del recurrente, por lo que solicita su anulación con el mandato de que se dicten otras respetuosas con el derecho fundamental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21 de noviembre de 2013, el Magistrado don Enrique López y López solicitó la abstención en el presente recurso de amparo por haber formado parte de la Sección Segunda de la Sala de lo Penal de la Audiencia Nacional que dictó el Auto de 1 de junio de 2011, en la ejecutoria núm. 37-2001, conforme a la causa de abstención prevista en el art. 219.11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la Sala Segunda de este Tribunal Constitucional, de 21 de noviembre de 2013, se le tuvo por abstenido, apartándole definitivamente del conocimiento del referido recurso y de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2014, se acordó señalar para deliberación y votación de la presente Sentencia el día 5 de mayo de 2014.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resoluciones del Tribunal Supremo y de la Sala de lo Penal de la Audiencia Nacional que han desestimado su solicitud de modificación de la liquidación de condena, practicada para el cumplimiento sucesivo de las diversas penas privativas de libertad impuestas al demandante en tres procesos por delitos de terrorismo. Dichas causas, y las condenas que en ellas se impusieron, fueron judicialmente acumuladas para su ejecución post-sentencia, fijando a la condena del demandante un límite temporal máximo de cumplimiento efectivo de treinta años —art. 76 Código penal 1995—. La vulneración denunciada se habría producido al no deducir en la liquidación de sus condenas acumuladas determinado periodo de tiempo durante el que el demandante simultaneó la condición de preso preventivo en dos de las causas y penado en la tercera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dichas resoluciones vulneran su derecho fundamental a la libertad personal (art. 17.1 CE) y a la tutela judicial efectiva (art. 24.1 CE), pues desconocen el mandato legal, tal y como ha sido interpretado por este Tribunal en la STC 57/2008, de 28 de abril, y deniegan indebidamente el abono para el cumplimiento de su condena acumulada del período de tiempo que permaneció simultáneamente en situación de penado por una causa y de prisión provisional por las otras dos. Por tanto, de forma implícita, entiende que dicho abono o descuento había de deducirse del límite temporal máximo de cumplimiento (treinta años de prisión) fijado en el Auto de 28 de octubre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pretensión, el Ministerio Fiscal, como ha quedado expuesto con más detalle en los antecedentes, entiende también que las resoluciones judiciales impugnadas han desconocido el derecho fundamental a la libertad personal del recurrente (art. 17.1 CE). Señala que el periodo de tiempo que se reclama, de acuerdo con la doctrina constitucional, es susceptible de doble cómputo y ha de ser descontado del límite máximo de cumplimiento. Afirma que, en otro caso, tal y como entendieron las resoluciones recurridas, el período de tiempo de prisión provisional coincidente con la situación de penado cuyo abono adicional se reclama, carecería de toda incidencia y relevancia en el cumplimiento de las penas. Postula, por ello, la anulación de las resoluciones recurridas en amparo para que se dicten otras respetuosas con el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cuestión de fondo objeto de este recurso se circunscribe a verificar si la decisión de los órganos judiciales por la que se rechaza modificar la liquidación de las condenas acumuladas es contraria al derecho fundamental a la libertad y seguridad (art. 17.1 CE) en tanto supone un alargamiento ilegítimo de la permanencia en prisión del condenado, con inobservancia de las disposiciones del Código penal reguladoras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plantea la existencia de un eventual óbice procesal que justificaría en este momento la inadmisión de la demanda de amparo por falta de agotamiento de la vía judicial previa [art.50.1 a), en relación con el art. 44.1 a), de la Ley Orgánica del Tribunal Constitucional]. El examen de las actuaciones recibidas tras decidir la admisión a trámite del recurso pone de relieve que, en el momento en que fue presentada la demanda de amparo —el 26 de marzo de 2012—, el recurrente no conocía que cinco días antes —mediante Auto de 21 de marzo— el Tribunal Supremo había desestimado su solicitud de nulidad de actuaciones, ya que dicha resolución le fue notificada el 31 de marzo siguiente. Es decir, si bien la vía judicial previa había sido objetivamente agotada y la jurisdicción se había pronunciado en sentido desestimatorio sobre la pretensión de nulidad, el demandante, subjetivamente, no conocía este dato, y acudió al amparo sin esperar a que le fuera notificada la decisión que ponía fin a su solicitud de nulidad y sin hacer referencia alguna a dicha circunstancia, mención a la que, por lealtad procesal, venía obligado. Pues bien, pese a ello, atendido el fundamento del requisito de procedibilidad alegado, que no es otro que asegurar el carácter subsidiario del recurso de amparo, esta peculiar circunstancia impide apreciar el óbice planteado dado que, habiendo sido resuelta por la jurisdicción la petición de nulidad en sentido desestimatorio cinco días antes de demandar el amparo de este Tribunal, nunca ha existido objetivamente el riesgo de interferencia entre la decisión jurisdiccional y la que pudiera adoptar este Tribunal (SSTC 129/2000, de 16 de mayo, FJ 2; 225/2000, de 2 de octubre, FJ 3; 192/2001, de 1 de octubre, FJ 3; y 44/2002,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ya se ha pronunciado sobre la cuestión que aquí se plantea en la STC 35/2014, de 27 de febrero, declarando que no vulnera el art. 17.1 CE la no aplicación de la jurisprudencia del doble cómputo establecida en la STC 57/2008, de 28 de abril, en los supuestos en que se haya establecido un límite máximo de cumplimiento (doctrina que ha sido reiterada en la STC 55/2014,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fundamentos jurídicos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la solicitud de inclusión en la liquidación como tiempo de abono desde el 6 de agosto de 2001 hasta que adquirió firmeza la Sentencia núm. 27/2001 (dictada en el rollo núm. 51-1988),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razonamientos expuestos conducen a concluir que las decisiones adoptadas no han producido la alegada lesión del derecho a la libertad del demandante (art. 17.1 CE), al no contravenir lo dispuesto en el 58.1 CP, ni quebrantar tampoco el fundamento y los fines que justifican la acumulación jurídica (art. 76 CP),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Ramón Aldasoro Magunazelaia.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1771-2012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 la Sala, debo manifestar mi discrepancia con el fallo y con la fundamentación jurídica de la Sentencia dictada, pese a que como Ponente de la presente Sentencia y, en dicha condición, recojo en ella la opinión mayoritaria de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mí discrepancia me remito a las razones expuestas en el Voto particular que formulé a la STC 35/2014, de 27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