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293-2014, promovido por doña Raquel Lora Peón, representada por la Procuradora de los Tribunales doña Susana Gómez Castaño y asistida por el Abogado don Javier Garicano Añíbarro, contra la Sentencia de 14 de octubre de 2013 y el Auto de 28 de noviembre de 2013 dictados por la Sección Cuarta de la Audiencia Provincial de Valladolid en recurso de apelación 594-13. Ha comparecido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enero de 2014, la Procuradora de los Tribunales doña Susana Gómez Castaño, en nombre y representación de doña Raquel Lora Peón y bajo la dirección del Abogado don Javier Garicano Añíbarro,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Juzgado de lo Penal núm. 2 de Valladolid se dictó, en los Autos de juicio oral núm. 186-2012, Sentencia de fecha 17 de mayo de 2013, por la que se absolvió a la demandante de amparo del delito contra la seguridad vial previsto en el art. 379.2 del Código penal (CP), del que venía siendo acusada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probados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10 de septiembre de 2011, sobre las 3:03 horas, la acusada Raquel Lora Peón conducía el vehículo Volkswagen Passat matrícula 0529 DCW por la calle Rondilla de Santa Teresa de esta ciudad de Valladolid cuando agentes de la Policía Local que formaban parte del control preventivo de alcoholemia instalado en la Plaza de San Nicolás procedieron a darle el alto, requiriendo a la acusada a someterse a las pruebas de detección alcohólica, accediendo la misma a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dichas pruebas se practicaron con el etilómetro Drager Alcotest 7110 número de serie ARZA-00, debidamente verificado y calibrado y en perfecto estado de funcionamiento, las cuales arrojaron un resultado positivo de 0,71 miligramos de alcohol por litro de aire espirado, la primera prueba practicada a las 3,32 horas, y 0,65 miligramos de alcohol por litro de aire espirado, la segunda prueba practicada a las 4:15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acusada presentaba como signos olor a alcohol notorio de cerca, ojos brillantes y habla algo pastosa.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acusada, una vez informada de sus derechos, solicitó la realización de la prueba por análisis de sangre como contraste para cuya realización se la trasladó al Hospital Río Hortega, donde se le realizó la extracción de sangre a las 5:15 horas. Que el resultado de dicha prueba fue de 1,43 gramos de alcohol en sangre por litro.”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primero de dicha Sentencia se motiva el pronunciamiento absolutorio en dos apartados: i) no queda acreditada la influencia del alcohol en la conducción, sobre la base de la sintomatología apreciada y la falta de constancia de que se hubiera producido una conducción irregular, según las declaraciones prestadas en el juicio oral por los policías locales actuantes; y ii) por la falta de fiabilidad de la prueba de contraste, tras valorar las declaraciones prestadas por los peritos, médicos y testigos que intervinieron en la extracción de sangre.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solicitando la revocación de la Sentencia absolutoria y la condena de la acusada por un delito contra la seguridad vial del art. 379.2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Cuarta de la Audiencia Provincial de Valladolid acordó la incoación de rollo de apelación núm. 594-2013. Por providencia de fecha 10 de julio de 2013, acordó la celebración de vista para el día 3 de octubre de 2013, a las 12:00 horas, con citación de la acusada para ser oída.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acusada formalizó recurso de súplica contra la anterior providencia alegando la vulneración del derecho a la tutela judicial efectiva, del derecho de defensa y del derecho a un proceso con todas las garantías (art. 24 CE). En su escrito denunciaba que la celebración de vista se había convocado de oficio, sin mediar solicitud expresa de la acusación pública, lo que a su juicio era contrario a la doctrina del Tribunal Constitucional (con cita del Auto de 8 de febrero de 2010, Sección Tercera) y contradecía la posición mantenida por el propio Tribunal ad quem en pronunciamientos anteriores, según la cual es carga del apelante promover la celebración de la vista con citación del acusado, sin que en estos casos proceda su señalamiento de oficio. Por todo ello acababa solicitando la revocación de la resolución dictada y que se dejara sin efecto la celebración de la vista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fecha 11 de septiembre de 2013, la Sección Cuarta de la Audiencia Provincial de Valladolid desestimó el recurso de súplica, confirmando la convocatoria de la vista acordada por providencia de 10 de julio de 2013. La resolución fundamentó su desestimación en la doctrina establecida en la STC 184/2009, de 7 de septiembre, que admitía la posibilidad de acordar de oficio la celebración de vista, concluyendo, en su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acordado la celebración de la citada vista para dar la posibilidad al acusado de ser oído por este Tribunal de la Apelación, en estricto cumplimiento de lo acordado por el Tribunal Constitucional en la citada resolución, que además expresamente admite la posibilidad de que la vista sea acordada de oficio, por lo que el recurso carece manifiestamente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3 de octubre de 2013 se celebró vista oral ante la Sección Cuarta de la Audiencia Provincial de Valladolid, en la que formularon sus alegaciones el Fiscal y la defensa, y fue oída la acusada, sin que practicara ningún medio de prueba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citada Sección Cuarta dictó Sentencia de fecha 14 de octubre de 2013, revocando el pronunciamiento absolutorio de primera instancia y condenando a la demandante de amparo como autora de un delito contra la seguridad vial del artículo 379.2 CP, a la pena de seis meses de multa, con una cuota diaria de doce euros, y arresto sustitutorio de un día de privación de libertad por cada dos cuotas impagadas, y a la pena de un año y un día de privación del permiso de conducir vehículos a motor y ciclomotores, así como al pago de las costas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apelación alteró parcialmente los hechos probados, declarando como tales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10.9.11, sobre las 3:00 horas, la acusada Raquel Lora Peón, mayor de edad, sin antecedentes penales, conducía el vehículo Volkswagen Passat 0529DCW, por la C/ Rondilla de Santa Teresa, en Valladolid, hacia la Plaza San Nicolás, lugar en que se hallaba dispuesto un control preventivo de alcoholemia por los agentes de la Policía Local, influida por la ingesta previa de alcohol. Se procedió por esto a dar el alto a la acusada, para que se sometiera a la prueba de detección alcohólica, accediendo a ello la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se practicaron con el etilómetro Drager Alcotest 7110 número de serie ARZA-00, debidamente verificado y calibrado, en perfecto estado de funcionamiento, y se arrojó como resultado a las 3:32 horas, 0,71 mg. de alcohol por litro de aire espirado, y a las 4:15 horas, 0,65 mg. La acusada solicitó la realización de extracción de sangre, trasladándose a la misma al Hospital Río Hortega, donde se efectuó, a las 5:15 horas, dicha extracción de forma correcta y válida, arrojándose un resultado de 1,43 mg. de alcohol por litro de sangre.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acusada presentaba ojos brillantes, rostro normal, olor a alcohol notorio de cerca, habla algo pastosa, imposibilidad de mantener un diálogo con ella, repeticiones, arrogante, mantenía el equilibrio y los movimientos eran normales.”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segundo de dicha Sentencia se razona la modificación de los hechos probados en base a: i) en cuanto a la sintomatología, se indica que la diligencia de síntomas del atestado ratificada en juicio oral es absolutamente clara y denota la influencia del alcohol en la conducción de la acusada; y ii) la prueba de contraste es fiable porque se siguió el protocolo en todo momento por la persona que practicó la extracción, a presencia de un policía, y se garantizó la cadena de custodia.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la demandante de amparo presentó escrito solicitando la aclaración de la Sentencia, la cual fue desestimada por Auto de fecha 24 de octubre de 2013, al considerar que excedía de lo que el art. 161 de la Ley de enjuiciamiento criminal considera como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Sentencia de apelación la representación procesal de la demandante de amparo presentó escrito planteando incidente de nulidad de actuaciones, que fue desestimado por Auto de fecha 28 de noviembre de 2013, dictado por la Sección Cuarta de la Audiencia Provincial de Valladolid.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judiciales objeto de impugnación lesionaron el art. 24 CE, alegando los siguientes motivos: i) vulneración del derecho al proceso con todas las garantías y a la presunción de inocencia (art. 24.2 CE), al haber sido condenada sin haber sido oída por el Tribunal sentenciador, queja que sustenta en la doctrina de la STC 167/2002 , y al haberse realizado una nueva apreciación de los hechos; ii) vulneración del principio acusatorio y del derecho a ser informada de la acusación y a la defensa (art. 24.2 CE), al haber sido condenada por un delito que exige la concurrencia de un elemento normativo (conducir bajo la influencia de bebidas alcohólicas), cuando en el relato de hechos del Auto de transformación no se contiene mención alguna a hechos que permitan fundar la existencia de influencia del alcohol en la conducción; iii) vulneración del derecho a un Juez imparcial, en relación con el derecho a un proceso con todas las garantías (art. 24.2 CE), como consecuencia de que se haya celebrado la vista de apelación, no a petición de parte acusadora, sino de oficio por la propia Sección, lo que entiende que coloca al Tribunal de apelación en una posición de parcialidad dentro del proceso, con relevancia constitucional; iv) vulneración del derecho a la presunción de inocencia y al uso de los medios de prueba pertinentes para la defensa, en relación con la prueba de detección de alcohol en sangre (art. 24.2 CE); v) vulneración del derecho a la tutela judicial efectiva por falta de motivación de la pena (art. 24.1 CE); y vi) vulneración del derecho a la presunción de inocencia por inexistencia de prueba de cargo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junio de 2014 la Sala Segunda de este Tribunal acordó la admisión a trámite de la demanda de amparo presentada y, de conformidad con lo dispuesto en el art. 51 de la Ley Orgánica del Tribunal Constitucional (LOTC), dirigir atenta comunicación a la Sección Cuarta de la Audiencia Provincial de Valladolid y al Juzgado de lo Penal núm. 2 de Valladolid, a fin de que remitieran certificación o copia adverada de las actuaciones y para que se procediera al emplazamiento de quienes hubieran sido parte en el proceso, para que en el plazo de diez días pudieran comparecer en este proceso constitucional de amparo. Asimismo, se acordó formar pieza separada de suspensión, solicitada por la recurrente en su escrito de demanda, que, una vez tramitada, fue denegada por Auto de fecha 8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Sr. Secretario de Justicia de la Sala Segunda de este Tribunal de fecha 18 de julio de 2014 se acordó,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septiembre de 2014, la demandante presentó alegaciones ratificando las ya formuladas en su escrito de demanda de amparo constitucional, expresando que concurren los requisitos procesales y la existencia de vulneración de derechos fundamentales para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septiembre de 2014 el Ministerio Fiscal presentó su escrito de alegaciones, en el que se solicita el otorgamiento parcial del amparo por vulneración del derecho fundamental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exponer los antecedentes, examina los motivos de amparo y altera el orden de la demanda, iniciando el examen por los motivos que darían lugar a la retroacción de actuaciones y entendiendo que no concurre vulneración en relación a dichos motivos con fundamento, en síntesis, en lo siguiente: i) en relación a la vulneración del principio acusatorio y derecho a un Juez imparcial, en cuanto a convocarse de oficio por el Tribunal de apelación vista oral en segunda instancia, el motivo de amparo carece de todo fundamento pues la doctrina constitucional admite la celebración de vista en segunda instancia de oficio, con citación del acusado para darle la posibilidad de ser oído, sin necesidad de previa petición de parte acusadora, con cita de la STC 184/2009; ii) respecto de la vulneración del derecho a utilizar los medios de prueba pertinentes para la defensa debe descartarse, pues la prueba de contraste, consistente en el análisis de sangre, fue introducida en el proceso con todas las garantías y sometida a un riguroso escrutinio, tanto en relación a la forma en que se llevó a cabo, como acerca de la fiabilidad de su resultado, y con posibilidad de contradicción; iii) en cuanto a la vulneración del principio acusatorio, derecho a ser informado de la acusación y derecho a la defensa, entiende que el debate procesal versó sobre la influencia de bebidas alcohólicas, sin que en ningún momento se alterara el objeto del proceso, y la demandante tuvo, por tanto, la oportunidad de defenderse; y iv) en relación a la vulneración de la tutela judicial efectiva por falta de motivación de la pena de días-multa, alega que existe motivación suficiente puesto que el déficit de la Sentencia de apelación fue subsanado por el Auto de aclaración de fecha 24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examina el primero de los motivos de la demanda de amparo, vulneración del derecho a un proceso con todas las garantías y presunción de inocencia, alegando que el motivo de amparo no carece de fundamento y debería ser estimado por aplicación al presente caso de la doctrina constitucional que expone, y al haber procedido el Tribunal ad quem a valorar pruebas personales sin respetar las garantías de contradicción e inmediación, incluyendo, además, en el relato de hechos probados, nuevos datos fácticos relevantes que no se estimaron acreditados en primera instancia por la Sra. Juez de lo Penal. Alega que la acreditación de la influencia del alcohol en la conducción, como elemento normativo del tipo penal previsto en el inciso 1, del art. 379.2 CP, fue fruto de una nueva valoración por el Tribunal de Apelación de los síntomas que presentaba la acusada en el momento de realizarse el control preventivo de alcoholemia, como así resulta, con claridad y nitidez, de la simple lectura del razonamiento probatorio de la Sentencia de apelación, y que tuvo su plasmación fáctica en la modificación parcial —aunque trascendente— del relato de hechos probados. Así, la diligencia de síntomas es una prueba personal y los agentes policiales no fueron convocados a la vista que se celebró en segunda instancia a los efectos de ser oídos personalmente, pese a lo cual la Audiencia procedió a realizar una nueva valoración de la prueba testifical. A la misma conclusión llega en relación con la valoración de la prueba de contraste de análisis de sangre, pues hizo una nueva valoración de las declaraciones de los peritos y médicos que fueron interrogados en el acto del juicio oral, sin haberlos tenido a su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queja sobre la vulneración del derecho a un proceso con todas las garantías (art. 24.2 CE), alega que carece de fundamento constitucional, ya que la Sala acordó citar personalmente a la vista a la acusada absuelta en primera instancia, dándole la efectiva oportunidad de estar presente, con asistencia de un Abogado, y, por tanto, teniendo la posibilidad real de ser oída.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alegación de vulneración del derecho a la presunción de inocencia (art. 24.2 CE) por parte de la recurrente, el Fiscal aduce que tiene un claro fundamento constitucional, puesto que, descartada la sintomatología como prueba válida y la de contraste por las razones expuestas, solo restaría, por tanto, como prueba para acreditar el elemento de la influencia del alcohol, el resultado de la prueba alcoholométrica practicada mediante etilómetro que es insuficiente para dar por acreditada la influencia en la conducción que exige el art. 379.2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14 de octubre de 2013 y el Auto de 28 de noviembre de 2013, dictados por la Sección Cuarta de la Audiencia Provincial de Valladolid en recurso de apelación 594-2013, que condenaron a la demandante como autora de un delito contra la seguridad vial, revocando la Sentencia absolutoria de fecha 17 de mayo de 2013, dictada en primera instancia por el Juzgado de lo Penal núm. 2 de Valladolid.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imputa a la Sentencia condenatoria de la Audiencia Provincial referida en el encabezamiento la vulneración de los arts. 24.1 y 24.2 CE en lo referido al derecho a una tutela judicial efectiva, derecho a un Juez imparcial, derecho a un proceso con todas las garantías, derecho a ser informada de la acusación, derecho a la utilización de los medios de prueba,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igualmente la estimación del amparo por haberse vulnerado el derecho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SSTC 126/2010, de 29 de noviembre, FJ 2, y 105/2013, de 6 de mayo, FJ 2, hemos declarado que corresponde a este Tribunal, en función de las circunstancias concurrentes en cada supuesto concreto sometido a su consideración, determinar no sólo el orden del examen de las quejas, sino también si resulta necesario o conveniente pronunciarse en la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nada impide acoger la preferencia que atribuye la parte recurrente a la primera de las quejas (derecho a un proceso con todas las garantías, atribuible al Tribunal de apelación), puesto que, al igual que el resto de motivos aducidos sobre garantías procesales, una eventual vulneración de este derecho fundamental produce en principio un efecto de retroacción de actuaciones, salvo en el caso de que se proyecte sobre la presunción de inocencia, cuestión ésta que debe ser examinada una vez apreciado el aducido quebrantamiento de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indicaba en la STC 88/2013, de 11 de abril, FJ 10, con carácter general, la lesión del derecho a un proceso con todas las garantías no necesariamente tiene una repercusión inmediata en la vulneración del derecho a la presunción de inocencia. De ese modo, la vulneración del derecho a un proceso con todas las garantías determina en principio la anulación de la Sentencia condenatoria y la retroacción de actuaciones para que el órgano judicial dicte una nueva resolución respetuosa con dicho derecho, salvo que se proyecte sobre la presunción de inocencia por ponerse de manifiesto que las pruebas indebidamente valoradas son las únicas tomadas en cuenta por la resolución impugnada o por constatarse, a partir de su propia motivación, que dichas pruebas eran esenciales para llegar a la conclusión fáctica incriminatoria, de modo que con su exclusión la inferencia de dicha conclusión se convierta en ilógica o no concluyente a partir de los presupuestos de la propia Sentencia (así, SSTC 30/2010, de 17 de mayo, FJ 5; 135/2011, de 12 de septiembre, FJ 4, y 144/2012,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amparo alegado en la demanda está referido a la vulneración del derecho a un proceso con todas las garantías (art. 24.2 CE) por haberse revocado la absolución de la recurrente a partir de una nueva valoración de pruebas personales sin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las condenas penales en segunda instancia previa revocación de un pronunciamiento absolutorio, iniciada en la STC 167/2002, de 18 de septiembre (FFJJ 9 a 11) y reiterada en numerosas Sentencias posteriores (entre otras muchas, SSTC 182/2007, de 10 de septiembre; 28/2008, de 11 de febrero; 1/2009, de 12 de enero, 24/2009, de 26 de enero y más recientemente, SSTC 22/2013, de 31 de enero; 195/2013, de 2 de diciembre; y 105/2014, de 23 de junio), expresa que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También inciden en el tema las Sentencias del Tribunal Europeo de Derechos Humanos, (SSTEDH) de 29 de octubre de 1991, caso Jan Ake Andersson c. Suecia y 5 de diciembre de 2002, caso Hoppe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hemos dicho que el respeto a los citados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de manera que el órgano de apelación no puede operar una modificación de los hechos probados que conduzca a la condena del acusado, si tal modificación no viene precedida del examen directo y personal de los acusados o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ahora examinado, la Sentencia de primera instancia dictada por la Sra. Juez de lo Penal, después de descartar la utilización del resultado del análisis de sangre como prueba para fundar un pronunciamiento condenatorio por las dudas sobre el modo de realización de dicha prueba y su resultado, advierte que los niveles de alcoholemia no se encuentran por encima del límite a partir del cual científicamente se ha comprobado que se produce una afectación a las facultades de atención, concentración y reacción de cualquier persona, por lo que no resultan suficientes para estimar acreditado el elemento de la “influencia” que exige el tipo penal. A este respecto, argumenta que la sintomatología que presentaba la acusada, según la diligencia extendida por los agentes de la policía local, que apreciaron ojos brillantes, olor a alcohol notorio de cerca, habla algo pastosa, resultaba claramente insuficiente para deducir que tenía sus facultades psicofísicas disminuidas a consecuencia de la previa ingesta de bebidas alcohólicas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apelación, el Tribunal ad quem revocó el pronunciamiento absolutorio y condenó a la demandante de amparo, a cuyo efecto, tal como se ha expuesto en los antecedentes, modificó parcialmente el relato de hechos probados sin practicar prueba en segunda instancia, incluyendo la mención expresa de que la conducción estaba “influida por la ingesta previa de alcohol”, y añadió que la extracción de sangre, como prueba de contraste, se realizó “de forma correcta y válida”, e incluyó algunos signos externos (v.gr., “imposibilidad de mantener un diálogo con ella, repeticiones, arrogante, mantenía el equilibrio y los movimientos eran normales”) no recogidos en los hechos probados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fundamento de derecho segundo de la Sentencia de apelación se deduce que la modificación de los hechos probados es consecuencia, por una parte, de la nueva valoración dada a la diligencia de síntomas, efectuada, según se afirma en la Sentencia de condena, de los datos obrantes en el atestado y de la ratificación de la diligencia de síntomas en el juicio oral por los agentes que la realizaron, y, por otra parte, de la discrepancia de la Audiencia Provincial con la conclusión alcanzada por el Juzgado de lo Penal en relación con la irregularidad del análisis de sangre, al considerarlo perfectamente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a la sintomatología del consumo de alcohol, y pese a que la Sentencia impugnada expresa que no valora pruebas personales, ya se ha indicado por este Tribunal que los datos suministrados en la diligencia de comprobación de signos externos no pueden calificarse de prueba documental, puesto que se trata realmente de una valoración directa del atestado, “mutando en medio de prueba lo que debió ser objeto de ella en el juicio oral” (STC 188/2002, de 14 de octubre, FJ 5), y que “no desvirtúan el carácter de prueba personal en cuanto están basados en la apreciación subjetiva de los agentes sobre lo que pudieron ver en ese momento en el acusado” (SSTC 200/2004, de 15 de noviembre, FJ 3; 164/2007, de 2 de julio, FJ 3; y 1/2009, de 12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al análisis de sangre respecta, debe tomarse en consideración que la Sentencia absolutoria decidió no apreciarlo como prueba de cargo por las dudas derivadas de la explicación en el juicio oral de la médico forense y del perito de parte, y por el antiséptico usado para la extracción, a partir de la declaración de la testigo que la efectuó y de una doctora. Por tanto, en la Sentencia recurrida en amparo se realiza una nueva valoración de dichas pruebas personales, tomando en consideración de nuevo lo declarado por la testigo que extrajo la sangre y por los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Sentencia recurrida procedió a realizar una nueva valoración de la prueba testifical y pericial en patente contradicción con los principios de inmediación y contradicción provocando con tal proceder la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oposición de ese proceder con las exigencias constitucionales derivadas del derecho a un proceso con todas las garantías en su proyección a la segunda instancia, en contra de lo entendido por la Audiencia Provincial de Valladolid, no se subsanó por el hecho de haberse celebrado vista, puesto que, como hemos reiterado, la exigencia de vista no es formal, sino que sirve de instrumento a la garantía constitucional de un proceso debido respecto a los principios de inmediación y contradicción (vid. por todas STC 105/2014, de 23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y tal como se ha expresado en los antecedentes, la vista se acordó a los solos efectos de que las partes formularan sus alegaciones y de oír a la acusada, quien ni tan siquiera fue interrogada, sin reiterarse la práctica de otras pruebas que, en el caso, hubieran debido ser las declaraciones de las personas cuyo testimonio fue objeto de revaloración, puesto que la conclusión fáctica a la que llega el Tribunal se sostiene en una nueva valoración de los testimonios de los agentes que practicaron el control preventivo de alcoholemia e hicieron constar la sintomatología que presentaba la acusada, así como de lo declarado por los peritos y médicos que participaron en la extracción y posterior conservación de la muestra de sangre.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declaración de la vulneración del derecho a un proceso con todas las garantías (art. 24.2 CE) conlleva en el presente caso la declaración de vulneración del derecho a la presunción de inocencia (art. 24.2 CE), puesto que, conforme se ha razonado, la prueba personal indebidamente valorada fue esencial para llegar a la conclusión fáctica incriminadora, de modo que, con su exclusión, la Sentencia condenatoria se ve privada de soporte constitucionalmente apto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anteriormente, es doctrina de este Tribunal que la lesión del derecho a la presunción de inocencia puede derivarse de la vulneración del derecho a un proceso con todas las garantías “si al eliminar las pruebas valoradas sin la debida inmediación, el relato de hechos probados no tiene contenido suficiente que permita sustentar la declaración de culpabilidad del acusado, bien cuando la prueba personal eliminada sea la única tenida en cuenta por la resolución impugnada, o cuando dicha prueba fue esencial para llegar a la conclusión fáctica incriminatoria, de modo que con su exclusión la inferencia en dicha conclusión devenga ilógica o no concluyente a partir de los presupuestos de la propia Sentencia” (entre muchas, recientemente, SSTC 126/2012, de 18 de junio, FJ 5, y 195/2013, de 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nuevo relato de hechos probados incriminador de la recurrente se asienta en la nueva valoración de la prueba personal efectuada por la Audiencia Provincial sin respetar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Sra. Juez de lo Penal, en su Sentencia de primera instancia, aun constatando la previa ingesta alcohólica, como consecuencia de la propia declaración de la acusada y del resultado de las pruebas de alcoholemia, descartó que la sintomatología que presentaba la acusada fuera suficiente para estimar por probada la influencia en la conducción, por el carácter equívoco de los síntomas, por las dudas sobre la conducción irregular y sobre la prueba de contraste. Sin embargo, del análisis de la Sentencia de apelación se constata que la influencia de la ingesta de bebidas alcohólicas en la conducción se estimó exclusivamente acreditada sobre la base de la sintomatología que presentaba la demandante de amparo, esto es, sobre la base de una nueva valoración de la prueba testifical de los policías locales en los términos antes expuestos, y que la validez de la prueba de contraste se determinó sobre la base de una nueva valoración de las declaraciones de los peritos y médicos que fueron interrogados en el acto del juicio oral en la primera instancia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excluidas dichas pruebas personales irregularmente valoradas, no existe prueba sobre el requisito de la afectación a la conducción de la ingesta de alcohol, lo que conduce a estimar lesionado también el derecho a la presunción de inocencia con la consiguiente anulación de las resoluciones recurridas porque la condena penal queda desprovista de base fáctica.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expuestos conducen a anular la Sentencia condenatoria, así como el Auto desestimatorio del incidente de nulidad de actuaciones, sin retroacción de las mismas (SSTC 144/2012, de 2 de julio, FJ 6; 43/2013, de 25 de febrero, FJ 7, y 120/2013, de 20 de mayo, FJ 5), y sin que, por lo demás, resulte necesario un pronunciamiento sobre las otras vulneraciones alegadas en la demanda de amparo, al haberse estimado ésta por la apreciación de las lesiones constitucionales expuestas.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Raquel Lora Peón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fundamentales de la demandante de amparo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14 de octubre de 2013 dictada por la Sección Cuarta de la Audiencia Provincial de Valladolid en recurso de apelación 594-13, así como del Auto de 28 de noviembre de 2013, que desestimó el incidente de nulidad de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