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5178-2013, promovido por don Luis de Velasco Rami, Portavoz del Grupo Parlamentario de Unión Progreso y Democracia (GUPyD) en la Asamblea de Madrid, representado por la Procuradora de los Tribunales doña María José Bueno Ramírez y defendido por el Letrado don Andrés Herzog Sánchez,  contra los siguientes Acuerdos de la Mesa de la Asamblea de Madrid: de 29 de abril de 2013, por el que se inadmitieron a trámite las solicitudes de comparecencia 206/13 y 207/13, y de 3 de junio de 2013, desestimatorio de la reconsideración; de 6 de mayo de 2013, por el que se inadmitieron a trámite las preguntas de respuesta oral en Pleno 465/13 y 466/13, y de 3 de junio de 2013, desestimatorio de la reconsideración; y de 13 de mayo de 2013, por el que se inadmitió a trámite la proposición no de ley 63/13, así como el Acuerdo de 10 de junio de 2013, desestimatorio de la reconsideración. Ha comparecido la Asamblea de Madrid, a través de sus representantes. Ha intervenido el Ministerio Fiscal. Ha sido Ponente el Magistrado don Fernando Valdés Dal-Re,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José Bueno Ramírez, en nombre y representación de don Luis de Velasco Rami, portavoz del Grupo Parlamentario de Unión Progreso y Democracia en la Asamblea de Madrid, interpuso demanda de amparo contra los acuerdos parlamentarios que se mencionan en el encabezamiento de esta Sentencia, mediante escrito registrado en este Tribunal el 10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la inadmisión, por parte de la Mesa de la Asamblea de Madrid, de las iniciativas parlamentarias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sendos acuerdos de 29 abril de 2013 la Mesa de la Asamblea de Madrid inadmitió a trámite las siguientes solicitudes de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606-2013, por la que el Grupo Parlamentario de Unión Progreso y Democracia solicitaba la comparecencia [por vía del art. 211 del Reglamento de la Asamblea de Madrid (RAM)] del Sr. Presidente de la Confederación Hidrográfica del Tajo ante la Comisión de Medio Ambiente y Ordenación del Territorio, con el objeto de que expusiera la propuesta del plan hidrológico y su impacto en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607-2013, por la que el Grupo Parlamentario de Unión Progreso y Democracia solicitaba la comparecencia (por vía del art. 211 RAM) del Sr. Presidente de la Confederación Hidrográfica del Tajo ante la Comisión de Medio Ambiente y Ordenación del Territorio, con el objeto de que expusiera el impacto de la Directiva marco del agua en el ámbito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estas dos iniciativas la Mesa acuerda, “de conformidad con lo dispuesto en el art. 49.1 c) del Reglamento de la Asamblea”, la no admisión a trámite “por depender el compareciente del Ministerio de Agricultura, Alimentación y Medio Ambiente, cuyo control corresponde a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anteriores acuerdos de inadmisión el portavoz del Grupo Parlamentario de Unión Progreso y Democracia presentó escrito de reconsideración, de conformidad con lo previsto en el art 49.2 RAM. La Mesa de la Asamblea de Madrid desestimó, por acuerdo de 3 de junio de 2013, los escritos de reconsideración presentados y confirmó los acuerdos iniciales limitándose a reiterar el motivo de inadmisión expresado en dichos acuerdos,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acuerdo de 6 de mayo de 2013, la Mesa de la Asamblea de Madrid inadmitió a trámite las siguientes preguntas de respuesta oral en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465-2013, mediante la que se solicita preguntar al Presidente del Gobierno de la Comunidad “si considera usted que en la Comunidad de Madrid se ha realizado una reforma radical de la Administración, como la que reclama Esperanza Aguirre”.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conformidad con lo dispuesto en el art. 49.1 c) RAM, mediante acuerdo adoptado el 6 de mayo de 2013, dispuso la no admisión a trámite de dicha pregunta “por no ser su objeto competencia del Gobierno de la Comunidad de Madrid”. El portavoz del Grupo Parlamentario de Unión Progreso y Democracia (UPyD), de conformidad con lo establecido en el art. 49.2 RAM, solicitó la reconsideración del acuerdo anteriormente referido. La Mesa, mediante acuerdo de 3 de junio de 2013, desestimó dicha solicitud y ratificó su anterior acuerdo, “por no ser su objeto competencia del Gobierno de la Comunidad de Madrid”,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466-2013, por la que se solicita la admisión a trámite de la siguiente pregunta dirigida al Gobierno de la Comunidad: “si conoce el Gobierno de la Comunidad las razones por las que las Vegas Sands no ha presentado a esta fecha su oferta sobre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conformidad con lo dispuesto en el art. 49.1 c) RAM, mediante acuerdo adoptado el 6 de mayo de 2013, dispuso la no admisión a trámite de dicha pregunta “por referirse su objeto a una decisión empresarial, no siendo por tanto una acción de Gobierno”. El portavoz del Grupo Parlamentario de UPyD, de conformidad con lo establecido en el art. 49.2 RAM, solicitó la reconsideración del acuerdo anteriormente referido. La Mesa, por acuerdo de 3 de junio de 2013, desestimó dicha solicitud y ratificó su anterior acuerdo por referirse el objeto de la pregunta “a una decisión empresarial, no siendo por tanto una acción del Gobierno”,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acuerdo de 13 de mayo de 2013 la Mesa de la Asamblea de Madrid inadmitió a trámite la siguiente solicitud de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Proposición no de ley 63-2013, por la que el Grupo Parlamentario de UPyD en la Asamblea de Madrid, al amparo de lo dispuesto en los arts. 205 y concordantes RAM, solicita que la Asamblea de Madrid “inste al Gobierno de la Comunidad de Madrid a interponer todas las acciones judiciales pertinentes, incluidas las penales, frente a los responsables de la emisión de las preferentes de Caja Madrid durante el año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a la vista de las consideraciones efectuadas en un informe jurídico que aporta como motivación, de conformidad con el art. 49.1 c) RAM y con los arts. 9 y 16 del Estatuto de Autonomía de la Comunidad de Madrid, acuerda su no admisión a trámite por entender que “el Consejo de Gobierno de la Comunidad de Madrid carece de competencias sobre la materia objeto de la iniciativa, por no ser viable el ejercicio de las funciones de impulso, orientación y control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portavoz del Grupo Parlamentario de UPyD, de conformidad con lo establecido en el art. 49.2 RAM, solicitó la reconsideración del acuerdo anteriormente referido. La Mesa, de conformidad con el art. 49.2 RAM, desestimó dicha solicitud por acuerdo de 10 de junio de 2013 y ratificó su anterior acuerdo sin aportar nueva motivación al respecto y sin hacer valoración o consideración alguna respecto de las alegaciones elevadas en los escritos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al amparo del art. 42 de la Ley Orgánica del Tribunal Constitucional (LOTC) y tiene por objeto la impugnación de los acuerdos de la Mesa de la Asamblea de Madrid anteriormente referidos, al entender el recurrente que vulneran el derecho a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esas decisiones han impedido de forma arbitraria la tramitación de solicitudes de comparecencia, la formulación de preguntas de respuesta oral en Pleno y la tramitación de una proposición no de ley, iniciativas que forman parte del núcleo esencial de la función representativa del Diputado recurrente y del Grupo Parlamentario de Unión Progreso y Democracia en la Asamblea de Madrid, aduciendo que el órgano rector de la Cámara ha fundado sus resoluciones en un juicio de oportunidad política y que viene inadmitiendo, de forma reiterada, la presentación de iniciativas parlamentarias por parte del Grupo Parlamentario de Unión, Progreso y Democracia, lo que ha dado lugar a la interposición de diversos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exponer parte de la jurisprudencia de este Tribunal acerca del art. 23 CE, el recurrente pone de manifiesto que todas las iniciativas rechazadas se presentaron de acuerdo con los requisitos contemplados en el Reglamento de la Asamblea, afirmando que la Mesa se ha excedido en su interpretación de dicha norma, constriñendo el derecho de participación política de los representantes políticos integrados en el Grupo Parlamentario de Unión, Progreso y Democracia e impidiendo de forma arbitraria la tramitación de iniciativas parlamentarias que forman parte del núcleo esencial de la función representativa, toda vez que son instrumentos básicos para controlar la acción del Gobierno y para plantear en sede parlamentaria los debates políticos que interesan a los ciudadanos. En consecuencia, se solicita la nulidad de cada uno de los Acuerdos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las comparecencias inadmitidas por la Mesa, el recurrente expone que en ambas iniciativas se solicitó la presencia del compareciente por la vía del art. 211 RAM, rotulado “De las comparecencias de otras entidades o personas a efectos de informe y asesoramiento”, con explícita declaración de que el objeto de la misma residía en solicitar información sobre la propuesta de plan hidrológico, así como respecto de la Directiva marco del agua y su respectivo impacto en la Comunidad de Madrid, siendo una materia de actualidad y que afecta directamente a la Comunidad Autónoma. En este sentido, insiste en que la comparecencia no va dirigida al control de la actuación del Presidente de la Confederación Hidrográfica del Tajo, ni del Ministerio competente, sino que sólo busca obtener información a fin de llevar a cabo la labor de fiscalización del Gobierno de la Comunidad de Madrid en la gestión del agua. Extremos que fueron expuestos en el escrito de reconsideración interpuesto ante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 la pregunta relativa al proyecto Eurovegas, el recurrente entiende que se refiere a una materia en relación con la que los miembros del Gobierno de la Comunidad de Madrid han hecho declaraciones públicas, siendo patente que ha habido contactos entre el Gobierno y Las Vegas Sands (citando en este sentido diversas informaciones aparecidas en la prensa), añadiendo que la caracterización como proyecto empresarial privado no implica, en modo alguno, que deba escapar del control político en sede parlamentaria, ya que el Gobierno ha negociado directamente con la empresa y ha aprobado leyes para facilitar la inversión. También aducen que mientras el Grupo Parlamentario de UPyD ha visto inadmitidas de forma sistemática todas las solicitudes de comparecencia o de preguntas sobre el proyecto Eurovegas, sí fue admitida la comparecencia del Consejero de Medio Ambiente y Ordenación del Territorio, solicitada por el Grupo Parlamentario Izquierda Unida-Los Verdes, con el objeto de dar cuenta del impacto medioambiental que tendrá la instalación del proyecto de Eurovegas en la región. Por lo que respecta a la pregunta dirigida al Presidente de la Comunidad en relación con “la reforma radical de la Administración, como la que reclamaba Esperanza Aguirre”, el recurrente aduce que se cumplen los requisitos previstos en el art. 192 RAM por lo que, en aplicación de la jurisprudencia vertida en la STC 40/2003, de 27 de febrero, FJ 2, la verificación de la admisibilidad ha de ser de carácter puramente formal. Así, argumenta que la pregunta versa sobre la reforma de la Administración, al hilo de las declaraciones de la que fue Presidenta de la Comunidad de Madrid desde el comienzo de la legislatura y hasta hace menos de un año, por lo que, dado que la mayoría de los actuales miembros del Gobierno lo eran también del suyo, considera muy razonable preguntar si el Gobierno de la Comunidad en esta legislatura ha llevado a cabo una reforma de la Administración en esas u otras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proposición no de ley rechazada, el recurrente aduce que no se puede declarar, como hace la Mesa, que dicha iniciativa no se ajusta a lo dispuesto en los arts. 205 y 206 RAM, citando en este sentido la STC 141/2007, en la que se recoge que es necesario “interpretar las normas parlamentarias del modo más favorable al ejercicio de los derechos y facultades de los representantes”. Por otro lado, el recurrente apela a la necesidad de motivación de los acuerdos de la Mesa, argumentando que, en el caso que nos ocupa, la inadmisión se fundamenta de una forma genérica o inespecífica, pues se limita a exponer que el Gobierno “carece de competencia sobre la materia”, remitiéndose a las consideraciones jurídicas recogidas en un informe del Secretario General que fue evacuado con motivo de otra iniciativa parlamentaria presentada por el Grupo Parlamentario de UPyD y en el que no se entra en momento alguno “a valorar si la iniciativa presentada por este Grupo, en concreto, y, en especial, si las medidas que en ella se incluyen, exceden o no del ámbito competencial de la Comunidad de Madrid. En dicho informe se argumenta jurídicamente tan solo la vinculación de las proposiciones no de ley al ejercicio de funciones de impulso, orientación y control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recurrente sostiene que la Comunidad de Madrid ostenta competencia sobre esta materia, pues en el art. 6 de la Ley 4/2003, de 11 de marzo, de cajas de ahorro de la Comunidad de Madrid, se establece: “En el marco de lo dispuesto en la presente Ley y en la legislación básica estatal, la Comunidad de Madrid ejercerá sus competencias administrativas en materia de supervisión, inspección y control de lo dispuesto en la normativa aplicable y, en especial, de la actividad económico-financiera y benéfico-social de las Cajas de Ahorros con domicilio social en el territorio de la Comunidad de Madrid, y el resto de competencias que se le atribuyen respecto a las Cajas de Ahorros, a través de la Consejería competente en materia de Hacienda Pública y política financiera”. Y en cuanto a la referencia exacta de la proposición no de ley sobre la exigencia de responsabilidad, dicha Ley señala, en su art. 75 (dentro del apartado dedicado a disciplina, inspección y sanción), que “en el marco de la legislación básica estatal, y sin perjuicio de las facultades que puedan corresponder a la Administración General del Estado y al Banco de España, la Comunidad de Madrid, a través de la Consejería competente, ostentará las funciones de disciplina y sanción respecto de las Cajas de Ahorros con domicilio social en la Comunidad de Madrid”. Añadiendo que las exigencias de responsabilidad administrativa por parte de la Comunidad de Madrid está específicamente contemplada en el art. 77 de la citada Ley, a tenor del cual “las Cajas de Ahorros, así como quienes ostenten cargos de administración o dirección en las mismas, que infrinjan normas de ordenación y disciplina de las entidades de crédito, emanadas del Estado o de la Comunidad de Madrid, incurrirán en responsabilidad administrativa sancionable con arreglo a lo dispuesto en la legislación básica estatal y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Quedando así claro, según los recurrentes, que la competencia en materia de disciplina, inspección y sanción de las cajas de ahorro en el territorio de la Comunidad de Madrid corresponde al Consejo de Gobierno de dicha Comunidad, con la inadmisión de la proposición no de ley resulta evidente el deseo de evitar el debate, sin que se alcance a comprender las razones por las que se priva a la Asamblea de la discusión sobre una cuestión que es de máxima actualidad pública y que constituye una de las principales preocupaciones de los ciudadanos españoles y madrileños. También alegan vulneración del derecho a la igualdad, al haber sido admitida una proposición no de ley del Grupo Parlamentario Socialista (proposición no de ley 66-2013, registro general de entrada 6025) en la que se propone que la Asamblea de Madrid inste al Gobierno de la Comunidad de Madrid para que exija al Gobierno de España una serie de actuaciones, que se detallan, en relación con la entidad financiera Bankia. Para el recurrente, ambas iniciativas versan sobre un objeto similar y, mientras una fue admitida a trámite, la presentada por el Grupo de UPyD fue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justifica la trascendencia constitucional del recurso argumentando que, de ser admitido a trámite, permitirá al Tribunal Constitucional fijar el alcance de la potestad que tiene la Mesa de la Asamblea de Madrid para inadmitir propuestas de los diputados y grupos parlamentarios y evitar así el elevado grado de arbitrariedad que muestran sus decisiones, añadiendo que, dado que no hay cauce de tutela ante la jurisdicción ordinaria, el recurso de amparo aparece como el único remedio posible para defender no sólo los derechos de representación política de los diputados integrados en el Grupo Parlamentario de Unión Progreso y Democracia en la Asamblea de Madrid, sino también la separación de poderes y la democracia en la Comunidad de Madrid, frente a una reiterada inadmisión de iniciativas parlamentarias planteadas por el recurrente y que ha impedido debates esenciales en la Asamblea sobre asuntos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abril de 2014, acordó admitir a trámite la demanda de amparo y, en aplicación de lo dispuesto en el art. 51 LOTC, requerir al Presidente de la Asamblea de Madrid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6 de mayo de 2014, acordó tener por personados y parte a los Letrados del Cuerpo de Letrados de la Asamblea de Madrid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2 de junio de 2014, en el que interesa que se dicte Sentencia estimando el recurso de amparo y declarando la nulidad de todas las resoluciones recurridas, por haber vulnerado, al recurrente y al Grupo Parlamentario al que representa, el derecho a ejercer en condiciones de igualdad el cargo público representativo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y constatar que en el presente caso se cumplen todos los requisitos de legitimación necesarios para que el recurrente actúe en su propio nombre y en el del Grupo Parlamentario de UPyD, el Fiscal entra en la cuestión de fondo recordando, en primer lugar, la doctrina de este Tribunal respecto de los derechos recogidos en el art. 23.2 CE para pasar a analizar, en segundo término, los acuerdos de la Mesa de la Asamblea que inadmitieron la solicitud de las dos comparecencias parlamentarias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Ministerio Fiscal reproduce los preceptos del Estatuto de Autonomía de Madrid y del Reglamento de la Asamblea de Madrid relativos a la materia, concluyendo que la Mesa de la Asamblea, al inadmitir las referidas comparecencias, ha realizado un control material o de contenido que ha excedido de la función que le corresponde de conformidad con la normativa aplicable, restringiendo de manera ilegítima los derechos que integran el núcleo de la función parlamentaria de los recurrentes, toda vez que la causa de denegación que se recoge en los acuerdos iniciales de inadmisión se refiere a cuestiones de naturaleza material, lo que no le corresponde a la Mesa, añadiendo, a mayor abundamiento, que las razones expuestas para la inadmisión carecen de lógica, puesto que las comparecencias no se solicitan para controlar la actuación del Presidente de la Confederación Hidrográfica del Tajo, como expone la Mesa en el acuerdo de inadmisión, sino, muy al contrario, en aplicación del art. 211 RAM y, por tanto, respecto de una persona que no pertenece a la Comunidad de Madrid, para que informe sobre materias de su competencia y que tienen impacto directo en esta Comunidad. El Fiscal añade que los acuerdos firmes que desestimaron los escritos de reconsideración carecen de una motivación expresa y suficiente, dado que no contienen ninguna referencia o valoración que permita conocer las razones de tal decisión, ni tienen en cuenta las alegaciones elevadas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acuerdos que inadmitieron las dos preguntas para contestación oral en el Pleno, el Fiscal aduce que ninguno de los motivos de inadmisión que se enumeran en el art. 192.3 RAM se corresponde con los motivos expuestos por la Mesa para inadmitir dichas preguntas, excediéndose así de la función que en esta fase de admisión el Reglamento otorga a la Mesa, a lo que se añade que los Acuerdos que desestimaron los escritos de reconsideración carecen de una motivación expresa y suficiente, limitándose a reiterar los motivos ya expresados en los acuerdos iniciales de inadmisión y sin tener en cuenta las alegaciones elevadas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acuerdos que inadmitieron la proposición no de ley 64-2013, el Fiscal expone que el acuerdo inicial de inadmisión no contiene una motivación que cumpla con la debida e individualizada motivación para justificar la limitación de la facultad parlamentaria, puesto que el titular de la misma no puede conocer las exactas razones que se han tenido en consideración para acordar la inadmisión, toda vez que la Mesa se remite a un informe jurídico que, a su vez, se remite a otro que no se aporta y que fue dictado en relación con una proposición no de ley diferente a la que ahora se inadmite, añadiendo que, en todo caso, la Mesa ha realizado un control de carácter material sin que los preceptos del Estatuto de Autonomía o del Reglamento que regulan este tipo de iniciativas parlamentarias le hayan atribuido tal facultad, siendo la Asamblea el órgano competente para pronunciarse sobre esta materia. Asimismo, aduce que el acuerdo que desestimó el escrito de reconsideración no hace ningún tipo de valoración respecto de las alegaciones que en dichos escritos se formulan, limitándose a reiterar la causa de inadmisión ya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sostiene que los acuerdos impugnados restringen inmotivadamente una facultad vinculada al ejercicio del ius in officium del recurrente y del Grupo Parlamentario al que representa, con la consiguiente vulneración del art. 23.2 CE, solicitando que se acuerde la nulidad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Letrados de la Asamblea de Madrid, mediante escrito registrado el 16 de junio de 2014, formularon sus alegaciones solicitando la inadmisión a trámite del recurso por no concurrir los presupuestos procesales exigidos al respecto al haberse efectuado, a su juicio, una indebida acumulación de iniciativas parlamentarias de distinto género y materia que han sido objeto de tratamiento en sesiones distintas de la Mesa de la Asamblea de Madrid y, en su defecto, interesan que este Tribunal acuerde que el recurso de amparo no es susceptible de admisión por insuficiente justificación de la especial trascendencia constitucional por parte de los recurrentes (ex art. 49.1 LOTC) y por carecer de la trascendencia constitucional requerida, en los términos exigidos por el art. 50.1 LOTC. Subsidiariamente solicitan que se dicte Sentencia denegando el amparo, al entender que no ha existido vulneración, en ninguno de los supuestos cuestionados, de los derechos fundamentales reconocidos en 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óbices de admisibilidad anteriormente referidos, los representantes de la Asamblea de Madrid ponen de manifiesto que el presente recurso se incardina en una estrategia articulada por el recurrente para poner en tela de juicio la función de la Mesa de la Asamblea de calificación y admisión a trámite de los escritos parlamentarios, añadiendo que, de ser cierto el entramado de arbitrariedades que se denuncian en la demanda de amparo y que se exponen para justificar la especial trascendencia constitucional del recurso, el recurrente debería haber acudido a la jurisdicción penal, ejerciendo las acciones oportunas contra las personas responsables. Los letrados afirman, asimismo, que, dado que el recurso no goza de especial trascendencia constitucional, se pone en práctica una estrategia procesal que comprende la denuncia de arbitrariedad para intentar justificar, sin éxito,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motivos sustantivos o de fondo del recurso, y comenzando con las comparecencias inadmitidas, los letrados alegan que los acuerdos de la Mesa se ajustan a Derecho en virtud de lo dispuesto en el art. 49.1.c RAM y están debidamente motivados, sin que se hayan cercenado las facultades de los parlamentarios incardinadas en el seno del ius in officium del artículo 23 CE, al entender que queda suficientemente motivada la inadmisión. Más en concreto, consideran que las comparecencias que se inadmiten versan sobre materias que no son de la competencia de la Asamblea de Madrid, sino de las Cortes Generales, razón que entienden suficiente para justifica la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preguntas formuladas e inadmitidas por la Mesa, los Letrados de la Asamblea de Madrid aducen que la pregunta dirigida al Presidente del Gobierno de la Comunidad, relativa a si “considera que en la Comunidad de Madrid se ha realizado una reforma radical de la Administración”, excede de las competencias de la Comunidad, pues entienden que a la Asamblea le corresponde una labor de control del Consejo de Gobierno de la Comunidad y tal pregunta se sitúa en el ámbito estatal. Respecto de la inadmisión de la pregunta dirigida al Gobierno de la Comunidad para que explique si conoce las razones por las que Las Vegas Sands no ha presentado a esta fecha su oferta sobre Eurovegas, entienden que dicho acuerdo está perfectamente justificado porque la pregunta se refiere a una materia que depende de la exclusiva voluntad de la referida empresa, quedando al margen de la competencia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 proposición no de ley rechazada, los Letrados de la Asamblea de Madrid sostienen que el acuerdo de inadmisión está perfectamente motivado, toda vez que se remite a un informe jurídico dictado con ocasión de otra iniciativa presentada por el Grupo Parlamentario recurrente. También alegan que la materia que se plantea no pertenece a la competencia de la Comunidad de Madrid, porque Bankia no tiene naturaleza de caja de ahorros, sino que se trata de una sociedad anónima inscrita en el registro especial del Banco de España y, finalmente, que de los arts. 9, 12 y 16 del Estatuto de Autonomía, así como del Reglamento de la Cámara, se podría derivar una interpretación según la cual se habilita a la Mesa para que pueda desarrollar un control material de este tipo de iniciativas, evitando que la Cámara tenga que pronunciarse sobre conflictos o problemas que no son de su estricta competencia o no sean producto del ejercicio de la función de impulso, orientación y control de la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enero de 2015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de esta Sentencia, el recurso de amparo se dirige contra una serie de acuerdos de la Mesa de la Asamblea de Madrid, por los que se inadmitieron diversas iniciativas parlamentarias presentadas por el portavoz del Grupo Parlamentario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los acuerdos impugnados vulneran el derecho de acceder en condiciones de igualdad a las funciones y cargos públicos según lo dispuesto en el artículo 23.2 CE, en relación con el derecho de los ciudadanos a participar en los asuntos públicos a través de sus representantes, previsto en el artículo 23.1 CE. Para el recurrente, dichos acuerdos de inadmisión han impedido de forma arbitraria la tramitación de dos comparecencias, la formulación de dos preguntas y la tramitación y toma de postura sobre una proposición no de ley, iniciativas que forman parte del núcleo esencial de la función representativa, toda vez que en el Reglamento de la Cámara no existe disposición alguna que autorice a la Mesa, en esta fase del procedimiento, a actuar de filtro de dichas iniciativas parlamentarias más allá de una estricta y rigurosa fiscalización de sus elementos formales, de modo que, como se expone con más detenimiento en los antecedentes de esta Sentencia, el recurrente entiende que los motivos esgrimidos por la Mesa de la Cámara para inadmitir la referidas iniciativas, además de ser insuficientes, exceden del ámbito de control que tiene atribuido el órgano rector, por cuanto tienen que ver con valoraciones jurídicas de oportunidad, impidiendo la tramitación de iniciativas parlamentarias correctamente planteadas, hasta el punto de erigirse en un obstáculo para el ejercicio de la función representativa por haber impedido el debate sobre asuntos de indudable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estimando el recurso de amparo y que se declare la nulidad de todas las resoluciones recurridas, por haber vulnerado el derecho del recurrente a ejercer en condiciones de igualdad el cargo público representativo reconocido en el art. 23.2 CE, de acuerdo con las razones expuestas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formuló alegaciones solicitando la inadmisión a trámite del recurso por no concurrir los presupuestos procesales exigidos al haberse efectuado una indebida acumulación de iniciativas parlamentarias de distinto género y materia que han sido objeto de tratamiento en sesiones distintas de la Mesa y, en su defecto, solicita que este Tribunal acuerde que el recurso de amparo no es susceptible de admisión por carecer de la trascendencia constitucional requerida, en los términos exigidos por los artículos 49.1 y 50.1 Ley Orgánica del Tribunal Constitucional (LOTC). Subsidiariamente la representación procesal de la Asamblea de Madrid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las objeciones de inadmisibilidad alegadas por la representación procesal de la Asamblea de Madrid. En este sentido debemos señalar, en primer lugar, que ningún problema constitucional se deriva de la acumulación en una misma demanda de varias denuncias relativas a la vulneración de los derechos recogidos en el art. 23 CE durante la tramitación de diferentes iniciativas parlamentarias (aunque no tengan la misma naturaleza, como es el caso) siempre que, con respecto a cada una de ellas, se observen los requisitos de procedibilidad correspondientes, pues la línea argumental de todo el recurso es similar, al versar sobre la restricción de las facultades integradas en el ius in officium de los representantes políticos (SSTC 74/2009, de 23 de marzo, FJ 2, y 33/2010, de 19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la especial trascendencia constitucional del recurso, de las alegaciones de los Letrados de la Asamblea de Madrid se desprende, por un lado, que consideran que la demanda adolece de una insuficiente justificación de la especial trascendencia constitucional (ex art. 49.1 LOTC) y, por otro, que estamos ante un recurso que carece de especial trascendencia constitucional [ex art. 50.1 b) LOTC]. Con respecto al cumplimiento de la carga del demandante de justificar la especial trascendencia constitucional del recurso debemos señalar que, tal y como ha quedado reflejado en los antecedentes de esta Sentencia, el demandante hace un esfuerzo argumental tendente a disociar los argumentos dirigidos a evidenciar la existencia de la lesión del derecho fundamental y los razonamientos específicamente dirigidos a justificar que el recurso presenta especial trascendencia constitucional (STC 17/2011, de 28 de febrero, FJ 2), cumpliendo así con el requisito derivado del art. 49.1 LOTC.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objeto de fiscalización por los tribunales ordinarios. Esta circunstancia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respecto de la valoración de la especial trascendencia constitucional por parte de este Tribunal (STC 155/2009, FJ 2), dada la repercusión general que tiene el ejercicio de la función representativa y que excede del ámbito particular del parlamentario y del grupo en el que se integra. Por otra parte, el presente recurso se inserta en una serie de demandas de amparo presentadas por el mismo recurrente, en las que se denuncia un proceder continuado del órgano rector de la Asamblea de Madrid lesivo del derecho fundamental cuya tutela se reclama y que justificaría la intervención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los Letrados de la Asamblea de Madrid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del recurso de amparo, la cuestión suscitada se contrae a determinar si los acuerdos de la Asamblea de Madrid de no admitir a trámite las iniciativas parlamentarias que se mencionan en el encabezamiento de esta Sentencia han vulnerado el derecho del recurrente a acceder en condiciones de igualdad a las funciones y cargos públicos con los requisitos que señalen las leyes (art. 23.2 CE), en relación con el derecho de los ciudadanos a participar en los asuntos públicos (art. 23.1 CE). Su resolución requiere, en primer término, traer a colación la doctrina constitucional sobre los mencionados derechos fundamentales, para ponerla en conexión con la potestad de la Mesa de la Cámara de calificar y admitir o no a trámite las iniciativas parlamentarias, recogida y perfilada, entre otras muchas, en las SSTC 38/1999, de 22 de marzo, FFJJ 2 y 3; 107/2001, de 23 de abril, FJ 3; 203/2001, de 15 de octubre, FFJJ 2 y 3; 177/2002, de 14 de octubre, FJ 3; 40/2003, de 27 de febrero, FJ 2, y 78/2006,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proclama la citada STC 40/2003, FJ 2,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FJ 2, entre otras). Esta garantía añadida resulta de particular relevancia cuando, como ocurre en el presente caso, la petición de amparo es deducida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FJ 3 y 40/2003, FJ 2) … 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ex art. 23.1 CE (SSTC 38/1999, FJ 2; 107/2001,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no vulnera aquel ius in officium, el ejercicio de la función de control por las mesas de las cámaras, estatales o autonómicas, sobre los escritos y documentos parlamentarios, “siempre que tras ese examen de la iniciativa a la luz del canon normativo del Reglamento parlamentario no se esconda un juicio sobre la oportunidad política” (STC 40/2003,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 23.2 CE (SSTC 177/2002, FJ 3 y 40/2003, FJ 2)” [STC 201/2014,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doctrina de carácter general, hemos de proceder al análisis de las lesiones alegadas, teniendo en cuenta la normativa configuradora de la potestad de la Mesa de la Cámara de calificar y admitir o no a trámite los escritos y documentos de índole parlamentaria que, en este caso, está constituida por el Estatuto de Autonomía de la Comunidad de Madrid y por 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lo que a iniciativas parlamentarias se refiere, se limita a recoger en su art. 16.2 que “el Reglamento establecerá las iniciativas parlamentarias que permitan a la Asamblea ejercer el control ordinario del Gobierno y obtener del mismo y de la Administración de la Comunidad la información precisa para el ejercicio de sus funciones”, añadiendo que el Reglamento regulará el procedimiento a seguir para la aprobación por la Asamblea, en el ejercicio de sus funciones de impulso, orientación y control de la acción de gobierno, de resoluciones o mociones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las comparecencias rechazadas, debemos señalar, en primer lugar, que el art 49.1 c) del Reglamento de la Asamblea de Madrid (RAM), en el que se basan expresamente los acuerdos iniciales de inadmisión impugnados, establece que corresponde a la Mesa de la Asamblea “calificar los escritos y documentos de índole parlamentaria, resolver sobre la admisión o inadmisión a trámite de los mismos y decidir su tramitación, con arreglo en todo caso a lo dispuesto en el presente Reglamento”, siendo en esta primera fase de calificación y admisión a trámite en la que hay que situar el análisis de los acuerdos recurridos. Por otra parte, estamos ante comparecencias que se solicitan en aplicación del art. 211 RAM, que dispone: “otras entidades o personas podrán comparecer ante las Comisiones a efectos de informe y asesoramiento sobre materias de competencia o interés de la Comunidad de Madrid por acuerdo de la Comisión competente en ejercicio de las facultades previstas en el artículo 70.1 e) de este Reglamento, a iniciativa de un Grupo Parlamentario o de la quinta parte de los Diputados miembros de la Comisión correspondiente”. En consecuencia, a la vista de los preceptos reproducidos, a la Mesa, en esta fase del procedimiento parlamentario [ex art. 49.1 c) RAM], le corresponde analizar los requisitos de legitimación, sin que pueda rechazar a limine la solicitud de admisión a trámite mediante argumentos de índole material, facultad ésta que reside en la comisión competente o, de acuerdo con la delegación prevista en el art. 70.2 RAM, en la mesa de la comisión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“debemos recordar que este Tribunal se ha ocupado ya en otras ocasiones de la naturaleza de la facultad parlamentaria de instar la comparecencia de determinadas personas, así como de su régimen jurídico. Con carácter general, hay que entender que estas iniciativas, cuando, como sucede en este caso, aparecen previstas en el Reglamento de la Cámara, se integran en el ius in officium del representante. En concreto y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y 33/2010, de 19 de junio, FJ 5). Por ello, como dijimos en el ATC 181/2003, de 2 de junio, FJ 2,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la STC 177/2002,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que se viene de exponer, se está ya en condiciones de analizar los acuerdos de la Mesa de la Asamblea que inadmitieron las dos solicitudes de comparecencia presentadas por el Grupo Parlamentario de Unión Progreso y Democracia, reproducidas en los antecedentes de esta Sentencia. De acuerdo con la normativa reproducida, la solicitud de las dos comparecencias rechazadas cuenta con cobertura reglamentaria, sin que el órgano rector de la Cámara pueda rechazar a limine su tramitación, salvo que la iniciativa se ejerza con manifiesta inobservancia de los trámites reglamentarios previstos o no tenga encaje normativo, lo que evidentemente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apoyo en el art. 211.1 RAM, se solicita la presencia del compareciente ante la Comisión de Medio Ambiente y Ordenación del territorio, con explícita declaración de que el objeto de sendas comparecencias reside en solicitar información sobre la propuesta de plan hidrológico, así como el de la Directiva marco del agua y sus respectivos impactos en la Comunidad de Madrid, siendo una materia de actualidad y que afecta directamente a la Comunidad Autónoma. En este sentido, el recurrente insiste en que resulta evidente que la comparecencia no va dirigida al control de la actuación del Presidente de la Confederación Hidrográfica del Tajo, ni del Ministerio competente, sino que sólo busca obtener información (en los términos previstos en el art. 211.1 RAM) a fin de llevar a cabo la labor de fiscalización del Gobierno de la Comunidad de Madrid en la gestión del agua. Estos extremos también fueron expuestos en el escrito de reconsideración interpuesto ante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como con razón indica el Fiscal, lo procedente por parte de la Mesa de la Asamblea, en aplicación del Reglamento, era dar curso a las solicitudes de comparecencia, remitiéndolas a la mesa de las correspondientes comisiones para que fueran los órganos parlamentarios destinatarios de las mismas los que decidieran, tras el oportuno debate y votación, su formalización o no. Con inobservancia del Reglamento parlamentario (art. 211.1 RAM), el órgano rector de la Asamblea ha obstaculizado el ejercicio de una facultad que la norma atribuye a los representantes y que está integrada en el marco funcional del status de los parlamentarios garantizado por el art. 23.2 CE, y, fuera de toda lógica, tanto formal, como material, rechaza la tramitación de sendas solicitudes “por depender el compareciente del Ministerio de Agricultura, Alimentación y Medio Ambiente”. Así, los acuerdos recurridos se fundan en una comprensión restrictiva de las posibilidades de solicitud de comparecencia ante las comisiones permanentes “que no respeta adecuadamente el núcleo esencial del derecho de representación política, por cuanto supone formular un juicio sobre la improcedencia de la comparecencia que no puede admitirse que tenga amparo en el texto del Reglamento de la Cámara ni, en consecuencia, que responda a una interpretación más favorable de la eficacia del derecho fundamental en juego” (STC 191/2013,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los acuerdos que desestiman la reconsideración formulada en relación con las comparecencias rechazadas, la Mesa se limita a reiterar los motivos de inadmisión anteriormente expuestos, sin dar respuesta a las alegaciones concretas elevadas por la parte recurrente, por lo que debemos insistir en el deber de los órganos parlamentarios de motivar expresa, suficiente y adecuadamente la aplicación de las normas cuando pueda resultar de la misma una limitación al ejercicio de aquellos derechos y facultades que integran el estatus constitucionalmente relevante de los representantes políticos (SSTC 38/1999, FJ 2; 107/2001, FJ 7; 203/2001, FJ 3; 277/2002, de 14 de octubre,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que los acuerdos impugnados, al no haber admitido a trámite las comparecencias solicitadas, han cercenado indebidamente el derecho del Grupo Parlamentario de Unión Progreso y Democracia a ejercer, sin traba ilegítima alguna, las funciones que el Reglamento de la Cámara le confiere, no pudiendo dejar de reiterar que la facultad de solicitar comparecencias pertenece al núcleo de la función representativa parlamentaria (art. 23.2 CE),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acuerdos que inadmitieron sendas preguntas de respuesta oral en el Pleno, el Reglamento de la Asamblea de Madrid se limita a disponer, en el art. 191: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Diputados podrán formular preguntas al Consejo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con el visto bueno del Portavoz del Grupo Parlamentario respectivo, podrán formular preguntas de respuesta oral en Pleno directamente al Presidente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192 RAM estatuye: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preguntas deberán presentarse por escrito ante la Mesa.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no podrá contener más que la escueta y estricta formulación de una sola cuestión, interrogando sobre un hecho, una situación o una información, sobre si el Consejo de Gobierno ha tomado o va a tomar alguna providencia en relación con un asunto o si va a remitir a la Asamblea algún documento o a informarle acerca de algún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procederá a la calificación, resolución sobre la admisión o inadmisión a trámite y decisión de la tramitación de las preguntas presentadas de acuerdo con lo establecido en este artículo, comprobando en particular el cumplimiento de los requisitos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preguntas de respuesta por escrito a través de las que se soliciten datos, informes o documentos que, por su naturaleza, sean incluibles en el ámbito de las previsiones del artículo 18 del presente Reglamento, serán calificadas como solicitudes de información al amparo de lo dispuesto en dicho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será admitida a trámite la pregunta que sea de exclusivo interés personal de quien la formula o de cualquier otra persona singularizada, ni las que se refieran expresamente a personas que no tengan una trascendencia pública en el ámbito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será admitida a trámite la pregunta en cuyos antecedentes o formulación se profirieren palabras o vertieren conceptos contrarios a las reglas de la cortesía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será admitida a trámite aquella pregunta que suponga consulta de índole estrictamente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serán admitidas a trámite las preguntas de respuesta oral que pudieran ser reiterativas de otra pregunta de respuesta oral sustanciada en el mismo período de sesiones ordinarias.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defecto de indicación expresa, se entenderá que quien formula la pregunta solicita respuesta por escrito y, si solicitara respuesta oral y no lo especificara, se entenderá que ésta ha de tener lugar en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Podrán acumularse a efectos de tramitación las preguntas de igual naturaleza relativas al mismo objeto o a objetos conexos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precepto transcrito, la decisión de la Mesa no se apoya en ninguno de los límites materiales contemplados por el Reglamento de la Cámara, pues las preguntas inadmitidas, reproducidas en los antecedentes de esta Sentencia, no resultan ser una consulta jurídica, ni de interés estrictamente personal del Diputado recurrente u “otra persona singularizada”, ni contienen expresiones contrarias “a las reglas de la cortesía parlamentaria”, ni consta que pudieran ser reiterativas de otra pregunta de respuesta oral sustanciada en el mismo período de sesiones ordinarias, siendo pertinente recordar que este Tribunal ha venido sosteniendo que, “si la legalidad aplicable no impone límite material alguno a la iniciativa, la verificación de su admisibilidad ha de ser siempre formal, cuidando únicamente de que la iniciativa cumpla con los requisitos de forma que le exige esa legalidad” (STC 107/2001,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pregunta de respuesta oral en Pleno 465-2013 fue inadmitida “por no ser su objeto competencia del Gobierno de la Comunidad de Madrid”, pero tal causa no se contempla en el Reglamento de la Asamblea como supuesto de inadmisión en el momento de la calificación y admisión a trámite de la iniciativa parlamentaria [ex art. 49.1 c)], como tampoco se contempla la inadmisión a limine por parte de la Mesa por tratarse de una materia que se escapa de la “acción del Gobierno”, tal y como ocurre con la pregunta con respuesta oral en Pleno 466-2013. Por otro lado, sin perjuicio de lo anterior y como razona el Ministerio Fiscal, la Mesa no aporta ninguna argumentación de fondo para inadmitir dichas iniciativas y para desestimar los escritos de reconsideración de los acuerdos iniciales de inadmisión. En los acuerdos que desestiman la solicitud de reconsideración de la inadmisión de las citadas preguntas por parte de la Mesa, ni se explica la falta de cobertura legal de los motivos en el que se basa las decisiones impugnadas, ni se expone ninguna razón de fondo por la que se considera que el objeto de las preguntas planteadas no es competencia del Gobierno o es ajena a la acción política del Consejo de Gobierno. Y todo ello, a pesar de que los recurrentes aportan argumentos que avalan la pertinencia de las mismas y su conexión, tanto con competencias de la Comunidad, como con la acción política del Consejo de Gobierno, lo que hace necesario insistir, una vez más, en el deber de los órganos parlamentarios de motivar expresa, suficiente y adecuadamente la aplicación de las normas cuando pueda resultar de las mismas una limitación al ejercicio de aquellos derechos y facultades que integran el estatuto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impugnados, al no haber admitido a trámite las preguntas formuladas, han cercenado indebidamente el derecho del recurrente a ejercer, sin traba ilegítima alguna, las funciones que el Reglamento de la Cámara le confiere, no pudiendo dejar de resaltarse que la facultad de formular preguntas de respuesta oral ante el Pleno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FJ 4; 74/2009,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corresponde analizar el acuerdo de la Mesa de la Asamblea de Madrid de 13 de mayo de 2013, que inadmitió a trámite la proposición no de ley presentada por el Grupo Parlamentario de Unión Progreso y Democracia, argumentando que “el Consejo de Gobierno de la Comunidad de Madrid carece de competencias sobre la materia objeto de la iniciativa, por no ser viable el ejercicio de las funciones de impulso, orientación y control del Gobierno”, así como el acuerdo de 10 de junio de 2013, que desestimó el escrito de reconsideración y que se limitó a reiterar la causa de inadmisión ya expresada en el acuerdo inicial de inadmisión, sin hacer ninguna referencia o consideración respecto de las razones aducidas por los recurrentes en el escrito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205 RAM confiere a los grupos parlamentarios la facultad de “presentar proposiciones no de ley a través de las cuales formulen propuestas de resolución a la Asamblea” y, en cuanto a su formulación, el art. 206 RAM únicamente dispone su presentación por escrito y la oportuna calificación y admisión a trámite por parte de la Mesa de la Cámara, previendo su tramitación en el Pleno o Comisión correspondiente, a solicitud del proponente y de la importancia del asunto. La previsión normativa se completa con la posible acumulación de este tipo de iniciativas, a los efectos de su tramitación, cuando su objeto sea el mismo o semejante. En definitiva, de dicha regulación se colige que el papel que corresponde desempeñar a la Mesa en el ejercicio de su función de calificación y admisión a trámite respecto de las proposiciones no de ley [ex art. 49.1 c) RAM] se ciñe a la verificación de los requisitos formales reglamentariamente establecidos, sin que se extienda también al examen del contenido material de la iniciativa, toda vez que el Reglamento de la Cámara no le otorga dicha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asimismo, que la relevancia de las proposiciones no de ley para el ius in officium de los representantes ha sido reconocida reiteradamente por la doctrina de este Tribunal, insistiendo en que se trata de una facultad que pertenece al núcleo de la función representativa parlamentaria y que se configura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FJ 7 y 78/2006,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ninguna restricción material se deriva del art. 16.2 del Estatuto de Autonomía de la Comunidad de Madrid, ni del art. 205 RAM para la presentación de este tipo de iniciativas y, por consiguiente, no existe disposición alguna que proscriba a limine, en aplicación del art. 49.1 c) de esta última norma, la admisión a trámite de proposiciones no de ley en función del contenido material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sin perjuicio de lo anteriormente expuesto, del razonamiento que acompaña a las resoluciones del órgano rector de la Cámara no es posible deducir los motivos por los que la iniciativa escapa de la competencia del Consejo de la Comunidad de Madrid. Esta falta de motivación resulta especialmente patente en el acuerdo de 10 de junio de 2013 que desestima la solicitud de reconsideración, toda vez que la Mesa no responde a las alegaciones concretas elevadas por los recurrentes en su escrito de reconsideración y se limita a ratificar su acuerdo inicial de inadmisión, cuya justificación se remite a un informe jurídico registrado con fecha de 20 de junio de 2012, que fue evacuado con motivo de otra iniciativa distinta a la que nos ocupa, de cuyo contenido no se desprende si la Comunidad de Madrid ostenta respecto de Caja Madrid alguna posición de control que le permita dirigirse a la misma como destinatario de su acción en relación con los responsables de la emisión de las preferentes de Caja Madrid durante el año 2009, sino que se remite a su vez a otro informe jurídico, vulnerándose así de forma patente la necesaria individualización de la motivación de inadmisión a fin de que puedan ser conocidas, en el caso concreto, las razones que la fundamentan, dado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y 277/2002, de 14 de octubre, FJ 5; y ATC 188/1999, de 10 de mayo, FJ 5 y 40/2003,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resumida en el fundamento jurídico tercero de esta Sentencia, a la luz de los preceptos reglamentarios anteriormente citados, conduce a afirmar que los acuerdos impugnados han cercenado indebidamente el derecho del recurrente, y del grupo parlamentario al que representa, a ejercer, sin traba ilegítima alguna, las funciones que el Reglamento de la Cámara les confiere, hurtando, además, al órgano parlamentario competente la posibilidad de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conclusiones conducen necesariamente, como ha quedado expuesto, al otorgamiento del amparo solicitado contra todos los acuerdos impugnados de la Asamblea de Madrid, si bien es necesario precisar el alcance de nuestro fallo, pues, a diferencia de lo sucedido en otras ocasiones, en que la adopción de las resoluciones impugnadas tuvo lugar en una legislatura ya finalizada, por lo que no cabía adoptar en el fallo de nuestra Sentencia una medida destinada al pleno restablecimiento del derecho vulnerado (por todas, SSTC 107/2001, FJ 10; 177/2002, FJ 11; 40/2003, FJ 9; 74/2009, FJ 5 y 44/2010, FJ 6), en el presente caso las resoluciones impugnadas han sido adoptadas en una legislatura aún no finalizada, lo que permite un pronunciamiento destinado a conseguir el pleno restablecimiento del derecho fundamental a la participación política (art. 23.2 CE) del Diputado recurrente en amparo, tal como éste interesa.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de Velasco Rami, portavoz del Grupo Parlamentario de Unión Progreso y Democracia en la Asamblea de Madrid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los siguientes acuerdos de la Mesa de la Asamblea de Madrid: de 29 de abril de 2013, por el que se inadmitieron a trámite las solicitudes de comparecencia 606-2013 y 607-2013, y de 3 de junio de 2013, desestimatorio de la reconsideración; de 6 de mayo de 2013, por el que se inadmitieron a trámite las preguntas de respuesta oral en Pleno 465-2013 y 466-2013, y de 3 de junio de 2013, desestimatorio de la reconsideración; y de 13 de mayo de 2013, por el que se inadmitió a trámite la proposición no de ley 63-2013, así como el acuerdo de 10 de junio de 2013, desestimatorio de la reconsideración.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los citados acuerdos de inadmisión de 29 de abril, 6 de mayo y de 13 de mayo, todos ellos de 2013, para que la Mesa de la Asamblea de Madrid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