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doña Adela Asua Batarrita, Presidenta, y don Fernando Valdés Dal-Ré,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2246-2012, promovido por la mercantil Compañía de Distribución Integral Logista S.A., representada por la Procuradora de los Tribunales doña María Teresa Goñi Toledo y asistida por el Abogado don Javier Navarro Martínez, contra el Auto de la Sección Primera de la Sala de lo Contencioso-Administrativo del Tribunal Supremo, de fecha 10 de noviembre de 2011, que resolvió la inadmisión del recurso de casación núm. 3466-2010, interpuesto por la sociedad demandante de amparo, y contra la providencia, de fecha 22 de febrero de 2012, que inadmitió a trámite el incidente de nulidad de actuaciones promovido contra el referido Auto. Ha comparecido el Abogado del Estado, en la representación que ostenta, y ha intervenido el Ministerio Fiscal. Ha sido Ponente el Magistrado don Pedro José González Trevijano-Sánchez,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abril de 2012 tuvo entrada en el Registro General de este Tribunal Constitucional escrito presentado por la Procuradora de los Tribunales doña María Teresa Goñi Toledo, actuando en nombre y representación de la mercantil Compañía de Distribución Integral Logista, S.A., y bajo la dirección letrada del Abogado don Javier Navarro Martínez,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Tribunal Económico-Administrativo Central, de fecha 13 de mayo de 2008, en virtud de la cual fue desestimado el recurso de alzada interpuesto contra la resolución del Tribunal Económico-Administrativo Regional de Cataluña, de 24 de mayo de 2007, que confirmó el acuerdo dictado por el jefe regional de la dependencia provincial de aduanas e impuestos especiales de Barcelona, en cuya virtud se estableció una deuda de 682.333,31 euros, por los conceptos de arancel, impuesto sobre el valor añadido a la importación e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377-2008, la Sala de lo Contencioso-Administrativo de la Audiencia Nacional (Sección Séptima) dictó, en fecha 8 de marzo de 2010, Sentencia desestimatoria de las pretensiones de la demandante. La referida Sentencia fue notificada a las partes el día 17 de marzo de 2010, con la indicación de que contra la misma cabía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30 de marzo de 2010, la sociedad demandante de amparo interesó que se tuviera por preparado recurso de casación contra la Sentencia antes indicada. En dicho escrito puso de manifiesto la intención de interponer recurso de casación, justificó la legitimación que ostenta y, a su vez, advirtió del cumplimiento del plazo para la presentación del escrito, del carácter recurrible de la resolución impugnada y de la suficiencia de la cuantía del recurso para el acceso a la casación. A ello, añadió la precisión de que el recurso iba a fundarse en los motivos previstos en los arts. 88.1 c) y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fecha 9 de abril de 2010, notificada a la sociedad demandante el día 19 del citado mes y año, la Sala de lo Contencioso-Administrativo de la Audiencia Nacional tuvo por preparado el recurso de casación. Asimismo, dicho órgano acordó emplazar a la demandante para que compareciera ante la Sala Tercera del Tribunal Supremo. Una vez recibidas las actuaciones por el órgano ad quem, el día 31 de mayo de 2010 la actora interpuso el recurso de casación ante la Sala Tercera del Tribunal Supremo. Por providencia de fecha 28 de septiembre de 2010 la referida Sala tuvo por interpuesto el recurso de casación, el cual fue registrado con el número 3466-2010.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3 de noviembre de 2010 la referida Sala dictó providencia, en cuya virtud dio traslado para alegaciones de las partes, por plazo común de diez días, para que alegasen sobre la posible concurrencia de la causa de inadmisión consistente en “estar exceptuada del recurso de casación la Sentencia impugnada por haber recaído en un asunto cuya cuantía no excede de 150.000 euros, pues aunque en la instancia quedó fijada en la cantidad de 682.333,31 euros, habiéndose producido en vía administrativa una acumulación de pretensiones, únicamente la liquidación en concepto de derechos arancelarios excede de 150.000 euros (arts. 86.2 b y 41.3 de la LRJCA)”. En fecha 15 de noviembre de 2010, la sociedad recurrente cumplimentó el traslado conferido, mediante escrito en el que interesó la admisión íntegra del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17 de mayo de 2011, la sociedad demandante de amparo presentó escrito ante la Sala de lo Contencioso-Administrativo de la Audiencia Nacional, en el que manifestó haber tenido conocimiento del Auto dictado por la Sala de lo Contencioso-Administrativo del Tribunal Supremo (en adelante, ATS) 2927/2010, de 10 de febrero de 2011, en virtud del cual modificaba su doctrina relativa a los requisitos exigibles para la preparación del recurso de casación contra sentencias dictadas por la Audiencia Nacional. Por ello, en orden a adecuar el escrito de preparación del recurso de casación a las exigencias establecidas por el la Sala Tercera del Tribunal Supremo, procedió a indicar las concretas infracciones normativas o jurisprudenciales cometidas por la Sentencia impugnada, a fin de que, para el caso de que el Tribunal Supremo resolviera la aplicación de la nueva doctrina a los recursos preparados con anterioridad a hacerse público el referido Auto del Tribunal Supremo, se considerara adecuado el escrito de preparación a las exigencias actuales, a cuyo efecto solicitó a la referida Sala que tuviera preparado el recurso de casación contra la Sentencia recaída en la instancia y, previos los trámites legales que procedan, remitiese el presente escrito a la Sala Tercera del Tribunal Supremo para su unión al recurso de casación núm. 3466-2010.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7 de junio de 2011, la Sala Tercera (Sección Primera) del Tribunal Supremo tuvo por recibido un oficio de la Audiencia Nacional, en el que se acompañó el escrito de adecuación de la preparación del recurso de casación presentado por la sociedad demandante de amparo, y ordenó unir el escrito a las actuaciones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11 de mayo de 2011, la Sala Tercera del Tribunal Supremo dio de nuevo plazo a las partes, a fin que formularan alegaciones sobre la posible concurrencia de la causa de inadmisión consistente en no haber citado en el escrito de preparación las infracciones normativas o jurisprudenciales que iban a desarrollarse en el escrito de interposición [arts. 88.1, 89.1 y 93.2 a) LJCA]. Dicha resolución fue notificada a la sociedad demandante el día 17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24 de mayo de 2011 la sociedad demandante evacuó el traslado conferido. En síntesis, la referida entidad solicitó la aplicación al caso de la doctrina mantenida en la STS de 30 de marzo de 2011, dictada por la Sección Segunda de la Sala Tercera del Tribunal Supremo en el recurso de casación 3143-2006, en cuya virtud fue admitido un recurso de casación preparado contra una sentencia dictada por la Audiencia Nacional, sin que en el escrito de preparación se hubieran citado las concretas normas o doctrina jurisprudencial que se reputaban infringidas. Asimismo, puso de relieve que los posibles defectos del escrito de preparación habían sido subsanados a través del escrito de adecuación de fecha 17 de mayo de 2011. Por todo ello, solicitó que se acordara la admisión total del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10 de noviembre de 2011, la Sala Tercera del Tribunal Supremo (Sección Primera) acordó la inadmisión del recurso de casación. La Sala se remitió a la doctrina establecida en el Auto del Tribunal Supremo de 10 de febrero de 2011, del que transcribió varios de sus fundamentos, y concluyó que no habiéndose citado, en el escrito de preparación del recurso formalizado por la sociedad recurrente, las infracciones normativas o jurisprudenciales que iban a desarrollarse en el escrito de interposición, procedía la inadmisión del recurso de casación, lo que hacía innecesario pronunciarse sobre la causa de inadmisión parcial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Sala considera de aplicación lo que la doctrina constitucional ha calificado como “mínimo efecto retroactivo”, de manera que el nuevo criterio jurisprudencial establecido resulta extensible a todo supuesto o situación jurídica que tenga ante sí para resolver, con independencia del momento temporal en que se interpuso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también rechaza la eficacia de la subsanación intentada por la sociedad demandante, a través de un escrito posterior al trámite de preparación, al entender que el incumplimiento de la carga establecida en el art. 89.1 de la Ley jurisdiccional acarrea un vicio de carácter sustancial, y no un simple defecto de forma, amén de que los requisitos que configuran los presupuestos procesales deben ser cumplidos, de manera indeclinable, en tiempo y forma. Por todo ello, entendió que el defecto procesal apreciado es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3 de enero de 2012, la sociedad demandante de amparo promovió incidente de nulidad de actuaciones en el que, con una extensa argumentación, alegó la vulneración del derecho a la igualdad en la aplicación judicial de la Ley (art. 14 CE) y del derecho a la tutela judicial efectiva en su vertiente de acceso a los recursos (art. 24.1 CE), en relación con el principio de seguridad jurídica contenido en el art. 9.1 CE. Denunció, en resumen, que el Tribunal Supremo había introducido una modificación sustancial respecto de los requisitos del escrito de preparación del recurso de casación contra Sentencias dictadas por la Audiencia Nacional que, además de inesperado, resulta sorprendente, arbitrario e infundado. Dicho cambio de criterio impone el cumplimiento de unos requisitos no contemplados en la Ley y, además, se aplica a escritos de preparación presentados con anterioridad a la adopción del nuevo criterio. Asimismo, afirma que la resolución impugnada contraviene la doctrina del Tribunal Constitucional en materia de subsanación de defectos procesales, con la consiguiente indefensión que se provoca a la parte recurrente. Finalmente, destaca la falta de vocación de permanencia de la modificación jurisprudencial, lo que comporta una vulneración del derecho a la igualdad en la aplicación judicial de la Ley, puesto que con posterioridad al Auto del Tribunal Supremo de 10 de febrero de 2011 se han dictado resoluciones en las que se retoma el criterio precedente, en cuya virtud no resulta exigible la indicación expresa, en el escrito de preparación del recurso de casación, de las normas o doctrina jurisprudencial infringida.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providencia de 22 de febrero de 2012 fue inadmitido a trámite el incidente de nulidad de actuaciones promovido contra el Auto de 10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contiene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10 de noviembre de 2011 ha lesionado el derecho a la tutela judicial efectiva (art. 24.1 CE), en su vertiente de acceso a los recursos, porque se funda en el requisito de anticipar en el escrito de preparación del recurso de casación los concretos preceptos o la jurisprudencia que se reputan infringidos, el cual carece de cobertura en la Ley reguladora de la jurisdicción contencioso-administrativa. Esta Ley —subraya— solo lo exige en el supuesto concreto del art. 89.2 LJCA para resoluciones dictadas por los Tribunales Superiores de Justicia. La recurrente no atribuye la infracción al mero cambio de criterio del Tribunal Supremo iniciado a partir del ATS 2927/2010, de 10 de febrero de 2011, sobre el que se articula el Auto del Tribunal Supremo de 10 de noviembre de 2011, que inadmite el recurso de casación interpuesto por la actora, pues también advierte que dicho cambio es arbitrario, en tanto que impone, ex novo y con carácter retroactivo, un requisito no exigido en la Ley reguladora de la jurisdicción contencioso-administrativa ni en la jurisprudencia anterior, que había quedado fijada en los AATS 573/2010, de 14 de octubre, y 3461/2010, de 18 de noviembre,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del Tribunal Supremo de 10 de noviembre de 2011 ha vulnerado su derecho a la tutela judicial efectiva (art. 24.1 CE), en su vertiente de acceso a los recursos,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A su vez, también advierte que, una vez tuvo conocimiento del cambio de criterio jurisprudencial, presentó un escrito de adecuación conforme a los nuevos requisitos fijados, el cual no fue tenido en cuenta para considerar subsanado el primigenio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también, en relación con esta infracción alegada, la vulneración de los principios de seguridad jurídica (art. 9.3 CE), buena fe y confianza legítima que, a la postre, han producido una efectiva indefensión a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del Tribunal Supremo de 10 de noviembre de 2011 ha conculcado su derecho a la igualdad en la aplicación judicial de la Ley (art. 14 CE), pues, según manifiesta la demandante, el cambio de criterio efectuado por la Sala Tercera del Tribunal Supremo no tiene vocación de permanencia, pues con posterioridad al Auto del Tribunal Supremo de 10 de febrero de 2011 se han dictado Sentencias y Autos contrarios a la jurisprudencia contenida en dicha resolución; entre otros, los AATS, de 17 de febrero de 2011 (recurso número 4600-2010), de 24 de febrero de 2011 (recurso número 3793-2010), de 17 de marzo de 2011 (recurso número 6250-2010), y 8516/2011, de 16 de junio (recurso número 5151-2010).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por último que, atendidas las circunstancias concurrentes, debió tomarse en consideración el escrito de adecuación a la nueva exigencia presentado por la parte al objeto de evitar una situación de indefensión que, en el curso de la tramitación de su recurso, ha cumplido escrupulosamente las normas y la jurisprudencia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18 de septiembre de 2013, el Magistrado de este Tribunal don Juan José González Rivas solicitó se le tuviera por abstenido en el presente recurso, dada la concurrencia de la causa de abstención prevista en el art. 219.11 de la Ley Orgánica del Poder Judicial (LOPJ), de aplicación supletoria conforme a lo establecido en el art. 80 de la Ley Orgánica del Tribunal Constitucional (LOTC), habida cuenta de que formó parte de la Sección Primera de la Sala Tercera del Tribunal Supremo, órgano este que dictó el Auto de inadmisión de 10 de noviembre de 2011, del que trae causa el presente recurso de amparo. Por Auto de fecha 19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número 3466-2010 y al recurso número 377-2008,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24 de octubre de 2013, el Abogado del Estado, en la representación que le es propia,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7 de enero de 2014, se tuvo por personado y parte al Abogado del Estado, en representación de la Administración del Estado. Y,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31 de enero de 2014, la sociedad demandante formuló sus alegaciones. En esencia, dicha entidad se remite a lo ya manifestado en el escrito de demanda, reiterando las pretensiones ya interesadas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6 de febrero de 2014. En síntesis, considera que, a la luz de la doctrina constitucional, el Auto de inadmisón combatido en amparo vulnera el derecho al acceso a los recursos que garantiza el art. 24.1 CE. Para el Abogado del Estado el auténtico problema constitucional que la demanda suscita radica en la aplicación retrospectiva o retroactiva de las nuevas máximas jurisprudenciales plasmadas en el Auto del Tribunal Supremo de 10 de febrero de 2011, que no existían cuando se presentó el escrito de preparación del recurso de casación. En el presente caso, la inadmisión del recurso de casación se sustenta, precisamente, en que no se preparó conforme a las referidas máximas; ello supone imponer retroactivamente un novedoso régimen procesal desfavorable a la realización de un acto procesal totalmente concluido, lo cual vulnera lo dispuesto en el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 fundadas en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27 de febrero de 2014. En primer lugar, compendia los hechos más relevantes que atañen al presente recurso. En segundo término, sintetiza la doctrina del Tribunal Constitucional sobre el acceso a los recursos y la evolución de la jurisprudencia del Tribunal Supremo sobre los requisitos que debe reunir el escrito de preparación del recurso de casación contencioso-administrativo. Finalmente, a la vista de las alegaciones formuladas en la demanda de amparo concluye que se ha vulnerado el derecho a la igualdad en la aplicación judicial de la Ley (art. 14 CE). Por el contrario, considera que las resoluciones combatidas en amparo no lesionan el derecho a la tutela judicial efectiva sin indefensión (art. 24.1 CE), dado que la exigencia de indicar, en el escrito de preparación del recurso de casación, las concretas infracciones legales o de la doctrina jurisprudencial deriva del propio tenor de los apartados c) y d) del art. 88.1 LJCA, de manera que cabría afirmar que no es la jurisprudencia la que impone tal requisito, sino la propia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Ministerio Fiscal en torno a la lesión del art. 14 CE se desarrolla, en síntesis,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preparó el recurso de casación conforme a las pautas fijadas en el ATS 15895/2010, de 18 de noviembre, recaído en el recurso de casación número 3461-2010, que pretendió aclarar la jurisprudencia relativa a los requisitos exigibles al escrito de preparación del recurso de casación, concretamente en su fundamento jurídico 6. Ahora bien, la doctrina establecida por el Auto anteriormente citado fue de nuevo matizada por la Sección Primera de la Sala de lo Contencioso-Administrativo del Tribunal Supremo mediante el ATS 2371/2011, de 10 de febrero, recaído en el recurso de casación número 2927-2010, el cual, en su fundamento jurídico 4, estatuyó la necesidad de la indicación de los concretos preceptos o jurisprudencia que se reputan infringidos o del contenido de las infracciones normativas o jurisprudenciales que se pretendan denunciar y desarrollar en el escrito de interposición del recurso de casación, aunque fuere de forma sucinta, añadiendo que 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 88.1 LJCA que se utilice.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mientras el ATS 15895/2010, de 18 de noviembre, dijo que era “carga del recurrente en casación indicar ya en la fase de preparación el concreto o concretos motivos en que se fundará el recurso y no en cualesquiera otras razones no contempladas en la Ley Jurisdiccional”, el ATS 2371/2011, de 10 de febrero, dejó sentado que era “carga del recurrente en casación indicar ya en la fase de preparación el concreto o concretos motivos en que se fundará el recurso y no en cualesquiera otras razones no contempladas en la Ley Jurisdiccional,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exigencia del ATS 2371/2011, de 10 de febrero, relativa a la obligatoriedad de indicar ya en la fase de preparación del recurso de casación no sólo el concreto o concretos motivos en que se fundará el recurso, sino también los concretos preceptos o jurisprudencia que se reputan infringidos o el contenido de las infracciones normativas o juris¬prudenciales que se pretendan denunciar y desarrollar en el escrito de interposición del recurso de casación, no ha sido seguido de modo unánime por la Sección Primera de la Sala Tercera del Tribunal Supremo. A tales fines, la parte recurrente ha mencionado Autos y Sentencias que con posterioridad a ese Auto de 10 de febrero de 2011 han mantenido la posición “histórica” de la Sala Tercera del Tribunal Supremo en relación con los requisitos predicables para la válida formulación del escrito de preparación del recurso de casación, como son los AATS 1932/2011, de 17 de febrero  (recurso número 4600-2010), 4046/2011, de 24 de marzo (recurso número 3896-2010), 3673/2011, de 17 de marzo (recurso número 1585-2010), 3667/2011, de 17 de marzo (recurso número 6250-2010), y 8516/2011, de 16 de junio (recurso número 5151-2010) y las SSTS de 30 de marzo de 2011 (recurso número 3143-2006) y 5 de abril de 2011 (recurso número 2520-2009).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sociedad demandante de amparo ha aportado un válido término de comparación, pues oportunamente cita los AATS 1932/2011, de 17 de febrero (recurso número 4600-2010), 3667/2011, de 17 de marzo (recurso número 6250-2010), y 8516/2011, de 16 de junio (recurso número 5151-2010), todos ellos dictados por la Sección Primera, en relación con recursos de casación entablados contra Sentencias dictadas por la Sala de lo Contencioso-Administrativo de la Audiencia Nacional, en ninguno de los cuales se exige la indicación, en el escrito de preparación del recurso de casación, de los concretos preceptos o jurisprudencia que se reputan infringidos o el contenido de las infracciones normativas o jurisprudenciales que se pretendan denunciar y desarrollar en el escrito de interposición del recurso de casación. Este dato permite constatar la efectiva y necesaria identidad entre los supuestos de hecho que constituyen la base de cada una de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suma, que en la presente hipótesis el Auto ahora impugnado —el Auto dictado por la Sección Primera de la Sala de lo Contencioso-Administrativo del Tribunal Supremo en el recurso de casación número 3466-2010 con fecha 10 de noviembre de 2011— no contiene referencia suficiente a la circunstancia de que esa misma Sección hubiera dictado previamente —vigente ya la doctrina fijada por el ATC 2371-2011, de 10 de febrero— al menos otros cuatro Autos en sentido diferente al de aquél, como tampoco contiene el Auto aquí impugnado una justificación explícita del cambio de criterio producido entre los casos que ahora trae a colación la parte recurrente en amparo y el Auto del que ahora se trata, lo cual parece en todo caso inexcusable.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sentado lo anterior, carece de dificultad apreciar en el presente caso la existencia de todos y cada uno de los requisitos establecidos por la antes mencionada doctrina de ese Tribunal Constitucional para que pueda entenderse vulnerado el derecho a la igualdad en la aplicación judicial de la Ley (art. 14 CE), pues (i) la parte demandante de amparo ha acreditado el tertium comparationis exigido al haber señalado en su demanda hasta cuatro Autos de la Sección Primera de la Sala de lo Contencioso-Administrativo del Tribunal Supremo recaídos en casos análogos al que es objeto del presente recurso de amparo, pero con resolución diferente de la recaída en su caso concreto; (ii) existe la identidad de órgano judicial, habida cuenta de que tanto el Auto impugnado como los Autos de contraste han sido dictados por la Sección Primera de la Sala de lo Contencioso-Administrativo del Tribunal Supremo; (iii) existe alteridad en los supuestos contrastados, pues ninguno de los casos de contraste aportados se refieren a la demandante; y (iv) es de apreciar la ausencia de toda motivación que justifique en términos generalizables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termina solicitando que se dicte Sentencia por la que se declare que el Auto dictado por la Sección Primera de la Sala de lo Contencioso-Administrativo del Tribunal Supremo en el recurso de casación número 3466-2010 con fecha 10 de noviembre de 2011 vulneró el derecho de la sociedad Compañía de Distribución Integral Logista, S.A., a la igualdad en la aplicación de la ley (art. 14 CE), con la consecuencia necesaria de la anulación de dicha resolución, así como de la providencia dictada por la Sección Primera de la Sala de lo Contencioso-Administrativo del Tribunal Supremo en el recurso de casación número 3466-2010, de fecha 22 de febrero de 2012, por la que se inadmitió el incidente de nulidad de actuaciones entablado contra aquel Auto, para que sea dictada, en su lugar, otra resolución que se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4 de noviembre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10 de noviembre de 2011,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6 de noviembre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febrero de 2015 se señaló para deliberación y fallo de la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 Por tanto, con remisión a lo expuesto en esa Sentencia, debe desestimarse la lesión aducida del derecho a la tutela judicial efectiva (art. 24.1 CE) por falta de cobertura legal de la causa de inadmisión apreciada, ya que, tal como se argumentó extensamente en su fundamento jurídico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lesión aducida del derecho a la igualdad en la aplicación de la ley. En el fundamento jurídico 4 de la Sentencia citada, ya se puso de manifiesto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falta de cumplimiento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Compañía de Distribución Integral Logista,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10 de noviembre de 2011 y de la providencia de 22 de febrero de 2012, dictados en el recurso de casación núm. 3466-2010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la Magistrada doña Adela Asua Batarrita y el Magistrado don Fernando Valdés Dal-Ré a la Sentencia dictada en el recurso de amparo núm. 2246-2012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 la Sala, manifestamos nuestra discrepancia con la desestimación de la vulneración del art. 24.1 CE relativa a la falta de cobertura legal de la causa de inadmisión impugnada, y con la desestimación de la lesión del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que nos conducen a tal conclusión fueron expuestos con detalle en el Voto particular formulado por el Magistrado don Juan Antonio Xiol Ríos a la STC 7/2015, de 22 de enero, dictada en el recurso de amparo avocado al Pleno núm. 2399-2012, al que entonces nos adherimos, y al que ahora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