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3819-2012, promovido por don José Antonio Joan Bagué, representado por el Procurador de los Tribunales don Luis Fernando Granados Bravo y asistido por la Abogada doña Esther Zamarriego Santiago, contra el Auto de la Sección Primera de la Sala de lo Contencioso-administrativo del Tribunal Supremo de 2 de febrero de 2012, que declaró la inadmisión del recurso de casación núm. 2989/2011, y contra la providencia de 7 de mayo de 2012 que inadmitió el incidente de nulidad de actuaciones promovido contra aquél. Ha comparecido y formulado alegaciones el Abogado del Estado, en la representación que ostenta, y ha intervenido el Ministerio Fiscal. Ha sido Ponente la Magistrada doña Encarnación Roca Trias,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junio de 2012 tuvo entrada en el Registro General de este Tribunal, escrito presentado por el Procurador de los Tribunales don Luis Fernando Granados Bravo, actuando en nombre y representación de don José Antonio Joan Bagué, y bajo la dirección letrada de la Abogada doña Esther Zamarriego Santiago, mediante el que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lo que a este recurso de amparo interesa,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mediante escrito registrado el 8 de marzo de 2011, preparó recurso de casación frente al Auto dictado por la Sala de lo Contencioso-Administrativo de la Audiencia Nacional (Sección Séptima) de fecha 21 de diciembre de 2010, confirmado por otro de 14 de febrero de 2011, aclarado éste último por Auto de 16 de marzo de 2011, dictados en la pieza separada de suspensión del recurso núm. 612-2010, sobre declaración de responsabilidad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escrito, el recurrente puso de manifiesto la intención de interponer recurso de casación, la legitimación de la parte recurrente, el cumplimiento del plazo para la presentación del escrito y el carácter recurrible de la resolución impugnada. A ello añadió la precisión de que el recurso iba a fundarse en los motivos previstos en los apartados c) y d) del art. 88.1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fue tenido por preparado por Auto de la Sala de lo Contencioso-Administrativo de la Audiencia Nacional de 18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14 de junio de 2011, el demandante de amparo formuló recurso de casación ante el Tribunal Supremo que fue registrado con el núm. 2989-2011. Por diligencia de ordenación de 6 de julio de 2011 se tuvo por presentado el escrito interponiendo recurso de casación y como parte recurrente al hoy demandante de amparo. Asimismo, tras nombrar ponente y remitirse a él las actuaciones para que se instruya y someta a la deliberación de la Sala lo que haya de resolverse sobre la admisibilidad o inadmisibilidad del recurso de casación, se tuvo por personado y parte al Abogado del Estado en concepto de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19 de septiembre de 2011 se dictó providencia por la que Sala Tercera del Tribunal Supremo puso de manifiesto para alegaciones la posible concurrencia de la causa de inadmisión consistente en: “No haberse hecho indicación en el escrito de preparación del recurso de las correspondientes infracciones normativas o jurisprudenciales que se desarrollarán en el escrito de interposición [artículos 88.1, 89.1 y 93.2 a) LJCA]”. En cumplimiento de dicho trámite, el Abogado del Estado, en escrito registrado el 27 de septiembre de 2011, manifiesta “no tener nada que alegar, estando al criterio de la Sala sobre el concreto particular”. Por su parte, el 4 de octubre de 2011, el demandante de amparo formalizó escrito en el que defiende la procedencia de la 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misma fecha de 4 de octubre de 2011, el demandante de amparo presentó escrito ante la Sala de lo Contencioso-Administrativo de la Audiencia Nacional en el que ponía de manifiesto que habiendo tenido conocimiento del Auto dictado por la Sala de lo Contencioso-Administrativo del Tribunal Supremo de 10 de febrero de 2011 (recurso núm. 2927-2010), por el que se modificaba su doctrina relativa a los requisitos exigibles para la preparación del recurso de casación formulado contra sentencias y autos dictados por la Audiencia Nacional, procedía a “adecuar el escrito de preparación a la nueva doctrina mantenida por el Tribunal Supremo en la materia citada”, con la advertencia de que “[d]icha adecuación se realiza, obviamente, para el caso de que dicha doctrina sea mantenida y reiterada por el Alto Tribunal … y considere que la misma resulta de aplicación incluso a los recursos de casación que hayan sido preparados con anterioridad a hacerse público el mencionado Auto”. Termina solicitando que se tuviera por adecuado el escrito de preparación del recurso de casación formulado y, previos los trámites legales que procedan, se remitiese al Tribunal Supremo para su unión al recurso de casación núm. 008-0002989-2011 interpuesto frente a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la Sala de lo Contencioso-Administrativo de la Audiencia Nacional de 10 de octubre de 2011, se tuvieron por hechas las manifestaciones contenidas en el “escrito de adecuación de recurso de casación” y se ordena su remisión a la Sala Tercera del Tribunal Supremo; lo que se efectuó mediante oficio dictado en la misma fecha. Por su parte, mediante diligencia de ordenación de Sala Tercera del Tribunal Supremo de 27 de octubre 2011, se tuvo por cumplimentado el trámite de alegaciones, así como por recibidos el oficio y el escrito de adecuación del recurso de casación presentado por el recurrente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 de febrero de 2012, la Sala Tercera del Tribunal Supremo (Sección Primera) declaró la inadmisión del recurso de casación. La Sala se remitió a los AATS de 10 de febrero, 12 de mayo y 16 de junio, todos de 2011, para terminar concluyendo que el recurso es inadmisible por estar defectuosamente preparado al no haber sido anunciados en el escrito de preparación los motivos del art. 88.1 LJCA con las exigencias que en los citados Autos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alcanzar dicha conclusión y considerar que con lo expuesto se ha dado cumplida respuesta a las alegaciones del recurrente, entiende, no obstante, que conviene reiterar “que la doctrina relativa a las exigencias predicables del escrito de preparación del recurso de casación, en lo que atañe a la cita de las infracciones normativas o jurisprudenciales que se pretendan denunciar y desarrollar en el escrito interposición, aunque fuere de forma sucinta, se sustenta en una concepción que enfatiza la relevancia de la fase de preparación como un trámite con sustantividad propia que no constituye un mero formalismo carente de trascendencia y persigue garantizar que la parte recurrida cuente con la información necesaria desde aquella fase para adoptar la posición procesal que estime pertinente”. En consecuencia, la Sala sostiene, después de hacer referencia a varias Sentencias de este Tribunal, la posibilidad de inadmitir un recurso de casación por un criterio interpretativo posterior al momento de presentación del escrito de preparación del recurso, acogiéndose al “mínimo efecto retroactivo”. Entiende, en síntesis, que “[e]n caso contrario, quedaría petrificada la nueva interpretación jurisprudencial a aquellos escritos de interposición de recursos que fueron presentados debidamente ante los Tribunales de Justicia a partir del momento del ‘anuncio’ del cambio de criterio, ‘anuncio’ a que no están obligados los órganos jurisdiccionales, tal y como tiene asentada la doctrina constitucional referida”. Asimismo, considera que hay que tener en cuenta que “una resolución judicial que incorpora un cambio de criterio jurisprudencial y cuya eficacia fuese meramente prospectiva sería un mero obiter dictum, amén de que se frustraría la finalidad del proceso porque la resolución no afectaría a las partes”, y que “[e]l único límite temporal al que se limitan los cambios de criterio jurisprudenciales, de conformidad con la doctrina del Tribunal Constitucional, es a las situaciones jurídicas que gozan de la protección de cosa juzgada”. Añade a lo dicho que “es doctrina reiterada de esta Sala, que la inobservancia de lo preceptuado en el artículo 89.1 LJCA no puede entenderse como un mero efecto subsanable, tal y como pretende la parte recurrente, ya que no se trata de un defecto formal, pues afecta a la sustancia misma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23 de marzo de 2012, el ahora demandante de amparo presentó escrito promoviendo incidente de nulidad de actuaciones en el que, con una muy extensa argumentación, alegó la vulneración de los arts. 14 y 24 CE. En el escrito se alegaba, en resumen, que el Tribunal Supremo había modificado de manera arbitraria y sin motivación, su jurisprudencia sobre los requisitos del escrito de preparación del recurso de casación formulados contra sentencias y autos dictados por la Audiencia Nacional, exigiendo uno no contemplado en la ley y aplicándolo a escritos presentados con anterioridad a la adopción del nuevo criterio con vulneración de la doctrina del Tribunal Constitucional en materia de subsanación de defectos procesales. Aduce también, en relación con la vulneración del art. 14 CE, que con posterioridad al ATS de 10 de febrero de 2011, la misma Sección de la Sala dictó autos contrarios a esta nueva jurisprudencia, retomando el criterio anterior que exigía sólo la mención de los motivos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7 de mayo de 2012 fue inadmitido a trámite el incidente de nulidad de actuaciones promovido contra el Auto anterior. La Sala aprecia que las alegaciones de la parte recurrente “lo que ponen de manifiesto es una discrepancia con la declaración de inadmisión del recurso de casación y con los razonamientos jurídicos que fundan dicho pronunciamiento, utilizando el incidente de nulidad actuaciones como si de un recurso de súplica se tratara, intentando soslayar el obstáculo del art. 93.6 LJCA”. A lo dicho añade que “la invocación del principio constitucional alegado no pueden servir de excusa para soslayar la aplicación de la ley, en este caso, la que establece las reglas para la correcta preparación del recurso de casación”. Por último, señala que la inadmisión del recurso de casación no lesiona el derecho de acceso a los recursos (art. 24.1 CE), pues debe tenerse presente que “no se quebranta dicho derecho porque un proceso contencioso-administrativo quede resuelto en única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basa su recurso de amparo en la vulneración de sus derechos a la igualdad en la aplicación de la ley (art. 14 CE) y a la tutela judicial efectiva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recurrente parte de que la exigencia de la anticipación al trámite de preparación de la cita de los concretos preceptos o la jurisprudencia que se reputan infringidos carece de cobertura legal en la Ley reguladora de la jurisdicción contencioso-administrativa, pues dicho requisito solo se exige en el supuesto concreto del art. 89.2 LJCA, relativo a la impugnación de las resoluciones dictadas por los Tribunales Superiores de Justicia. De acuerdo con los arts. 89.1 y 92.1 LJCA, cuando las resoluciones recurridas proceden de la Audiencia Nacional, la cita de las normas y la jurisprudencia infringidas se debe producir en el escrito de interposición del recurso. Defiende, por ello, que el ATS de 2 de febrero 2012, objeto del presente recurso amparo, no sólo ha inadmitido el recurso de casación en aplicación de un requisito no contemplado en la ley, sino que dicho requisito ha sido aplicado de forma sorpresiva e inesperada como consecuencia del cambio jurisprudencial acaecido con el ATS de 10 de febrero 2011, que considera arbitrario y no motivado. Añade, además, que el citado Auto no es aplicable a su caso porque resolvió sobre la admisibilidad de un recurso de casación preparado frente a una sentencia de la Audiencia Nacional y no frente a un auto como ahora ocurre.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en síntesis, que “habiendo preparado un recurso de casación cumpliendo escrupulosamente con la Ley y, especialmente, con la Jurisprudencia que la interpretaba en aquel momento, ha visto, sin embargo, inadmitido su recurso interpuesto frente a Autos de la Audiencia Nacional por la aplicación de un cambio jurisprudencial posterior, carente de cualquier fundamento legal, no justificado y que, aplicado con carácter retroactivo, ha hecho que, sin género de duda … se haya vulnerado de manera flagrante su derecho a la tutela judicial efectiva en su vertiente de acceso a los recursos (artículo 24 CE), así como su derecho a la igualdad, en su vertiente de igualdad en la aplicación judicial de la Ley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quejas son extensamente desarrolladas en la demanda de amparo con amplia cita jurisprudencial tanto del Tribunal Constitucional como del Tribunal Supremo. Respecto de la alegada vulneración del derecho a la igualdad en la aplicación de la ley (art. 14 CE), el demandante de amparo argumenta que el cambio jurisprudencial que lleva a cabo el Auto impugnado supone una flagrante vulneración del citado derecho, pues se presenta como: irrazonado o arbitrario, por no haber justificado los motivos jurídicos que amparan el cambio de criterio; irrazonable, especialmente teniendo en cuenta que se pretende su aplicación con efectos ex tunc; y sin vocación de permanencia, en la medida en que existen autos y sentencias posteriores al ATS de 10 de febrero 2011 en los que no se ha exigido por parte de la Sala Tercera del Tribunal Supremo (Sección Primera), el referido requisito de concretar en el escrito de preparación del recurso de casación interpuesto contra sentencias de la Audiencia Nacional, la norma o jurisprudencia que se considera infringida. Además, defiende que concurren las exigencias constitucionales precisas para fundamentar que se ha producido una efectiva vulneración del derecho de igualdad en aplicación de la ley (art. 14 CE), en cuanto se acredita un tertium comparationis válido (identidad del órgano judicial que dicta la resolución, identidad fáctica del supuesto a resolver, alteridad y ausencia de motivación para operar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la vulneración del derecho a la tutela judicial efectiva (art. 24.1 CE), en su vertiente de acceso al recurso, el recurrente considera que la decisión adoptada por la Sección Primera de la Sala Tercera, carece de cualquier cobertura legal dado que no se contiene ni se deduce de la Ley reguladora de la jurisdicción contencioso-administrativa; antes bien, resulta abiertamente contraria a la misma e, incluso, a la jurisprudencia del Tribunal Supremo relativa a los requisitos predicables de los escritos de preparación de recursos de casación, así como a la delimitación del concepto “requisitos de forma” realizada por el Tribunal Constitucional. Añade que la vulneración se produce, igualmente, por la aplicación retroactiva de un nuevo criterio jurisprudencial y por la indefensión que provoca tanto la falta de ofrecimiento para remediarlo como la decisión de no acceder a la subsanación de los defectos de que pudiera adolecer el escrito de preparación en el plazo concedido al efecto, en tanto que se le están exigiendo requisitos que no estaban en vigor al tiempo de presentarse el escrito de preparación, que no están recogidos en la ley y, además, que no habían sido identificados como tales requisitos por la Jurisprudencia del Tribunal Supremo en su consolidada doctrina configuraba a lo largo de más de doce años. A su juicio, la Sala Tercera debió tener en consideración su diligente proceder que demostró al aportar, tras el conocimiento del ATS de 10 de febrero de 2011, el escrito de adecuación a las nuevas exigencias previstas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2013, la Sala Primera del Tribunal Constitucional, de conformidad con lo dispuesto en el art. 11.2 de la Ley Orgánica del Tribunal Constitucional (LOTC), acuerda conocer del presente recurso de amparo y admitir a trámite la demanda presentada. Asimismo, en aplicación de lo dispuesto en el art. 51 LOTC, acordó dirigir atenta comunicación a la Sección Primera de la Sala de lo Contencioso-Administrativo del Tribunal Supremo y a la Sección Séptima de la Sala de lo Contencioso-Administrativo de la Audiencia Nacional a fin de que, en el plazo de diez días, remitieran certificación o fotocopia adverada de las actuaciones correspondientes a los recursos núms. 2989-2011 y 612-2010,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julio de 2013, el Abogado del Estado presentó escrito ante este Tribunal suplicando que, con la admisión del mismo, en la representación que ostenta, se le tenga por personado y parte en el presente recurso de amparo, señalando que se entiendan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fecha de 22 de julio 2013, se tuvieron por recibidos los testimonios de las actuaciones remitidos por la Sala Tercera del Tribunal Supremo y por la Sección Séptima de la Sala de lo Contencioso-Administrativo de la Audiencia Nacional, y el escrito del Abogado del Estado a quien se tuvo por personado y parte en representación de la Administración pública. Y,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6 de agosto de 2013, el demandante de amparo presentó escrito de alegaciones remitiéndose al escrito de demanda de amparo que dio inicio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el 19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inadmisión del recurso de casación contencioso-administrativo por defectos insubsanables del escrito de preparación, procede al análisis del art. 89.1 LJCA y, en especial, el contenido de la expresión “los requisitos de forma exigidos”. Estima, al respecto, que si bien desde el plano de la legalidad es muy discutible la nueva exigencia jurisprudencial contenida en el ATS de 10 de febrero de 2011, la misma no puede calificarse ni de arbitraria ni irrazonable. Dicho esto, advierte de que el auténtico problema constitucional que la demanda suscita, y en el que la parte tiene razón, radica en la “aplicación retrospectiva de las nuevas máximas jurisprudenciales” del citado Auto no conocidas al tiempo de preparación del recurso de casación. Argumenta que “[l]a razonable expectativa o confianza legítima sobre la admisión de un recurso de casación preparado de acuerdo con los requisitos de forma exigidos por la jurisprudencia en el momento de presentar el escrito de preparación se ve sorpresivamente frustrada por la aplicación retrospectiva de las nuevas máximas jurisprudenciales sin dar oportunidad procesal ninguna de ajustar el escrito ya presentado a las nuevas exigencias”, lo cual provoca, no una violación del principio de seguridad jurídica (art. 9.3 CE), que no resulta protegido por el recurso de amparo, sino “una aplicación irrazonable, por contraria a la confianza legítima, de las nuevas máximas jurisprudenciales determinantes de la admisión o inadmisión del recurso de casación, que por ello se traduce en una violación del derecho de acceso al recurso”. Añade, que “[l]a razonabilidad se extiende no sólo la interpretación que se hace de la norma, sino la forma en que esa interpretación se aplica a los supuestos de hecho sujetos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Abogado del Estado muestra su interés en que se dicte una sentencia estimatoria cuya doctrina constitucional sea que “el derecho fundamental de acceso al recurso garantiza a los justiciables que las nuevas máximas jurisprudenciales que imponen más severos requisitos de forma al escrito de preparación del recurso de casación —cuyo incumplimiento puede determinar la inadmisión del recurso— no se aplicarán irrazonablemente contrariando las exigencias mínimas de la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el 4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 hecho, el Fiscal inicia su argumentación haciendo referencia a las vulneraciones aducidas por el recurrente y trayendo a colación la jurisprudencia elaborada por el Tribunal Constitucional sobre las mismas. Considera que procede comenzar por el motivo de amparo relativo a la vulneración del derecho a la igualdad en la aplicación de la ley (art. 14 CE), pues de prosperar, carecería de sentido efectuar una consideración autónoma sobre la infracción del derecho a la tutela judicial efectiva (art. 24.1 CE), en la vertiente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realiza, en primer lugar, una “recapitulación fáctica” de la jurisprudencia del Tribunal Supremo relativa a los requisitos exigibles al escrito de preparación del recurso de casación, que inicia con el ATS 14419/2010, de 14 de octubre (recurso núm. 951-2010). Finalizada ésta, procede al examen de la alegada vulneración del art. 14 CE y señala, una vez afirmado que es evidente la existencia de un cambio de criterio en la Sección Primera de la Sala de lo Contencioso-Administrativo del Tribunal Supremo, que el problema radica en que la exigencia del ATS de 10 de febrero de 2011, relativa a la obligatoriedad de indicar en la fase de preparación del recurso de casación no sólo el concreto o concretos motivos en que se fundará el recurso, sino también los concretos preceptos o jurisprudencia que se reputan infringidos o el contenido de las infracciones normativas o jurisprudenciales que se pretendan denunciar y desarrollar en el escrito de interposición del recurso de casación, cuando se interponen recursos de casación frente a resoluciones dictadas por la Audiencia Nacional, no ha sido seguida de modo unánime por ésta. Lo que, a su juicio, pone en duda que la solución concretada en el citado Auto tuviera una verdadera voluntad de permanencia por responder a una interpretación abstracta y general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comprobar la existencia de la alegada vulneración del principio de igualdad en aplicación de la ley (art. 14 CE), el Ministerio Fiscal destaca que la parte recurrente ha aportado un término válido de comparación para argumentar la misma: acompaña a su demanda el Auto impugnado en amparo y otros cuatro Autos dictados por la misma Sala y Sección y que siguen un criterio distinto al ATS de 10 de febrero de 2011 [AATS 1932/2011, 17 febrero de 2011 (recurso núm. 4600-2010), 4046/2011, 24 marzo de 2011 (recurso núm. 3896-2010), 3667/2011, 17 marzo 2011 (recurso núm. 6250-2010), y 8516/2011, 16 junio 2011 (recurso núm. 5151-2010)]. También señala que el Auto ahora impugnado no contiene referencia suficiente sobre la circunstancia de que esa misma Sección hubiera dictado previamente, pero vigente ya la doctrina fijada por el ATS de 10 febrero 2011, los citados cuatro Autos en sentido diferente al de aquél, ni tampoco justificación explícita del cambio de criterio producido entre aquéllos y el Auto de que ahora se trata; lo cual, a su juicio, “parece inexcusable”. Por lo expuesto, considera que, en el presente caso, se ha cumplido con la exigencia de la acreditación del tertium comparationis, así como los requisitos de identidad de órgano judicial, alteridad y ausencia de toda motivación que justifique en términos generalizables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interesa que se dicte sentencia por la que se declare que se ha vulnerado el derecho fundamental a la igualdad en la aplicación de la ley (art. 14 CE) del demandante de amparo, y se le restablezca en su derecho y, a tales fines, se acuerde la nulidad del Auto de 2 de febrero de 2012 por el que se inadmitió el recurso de casación, así como la providencia que inadmitió el incidente de nulidad actuaciones formulado contra él, retrotrayendo las actuaciones al momento procesal inmediatamente anterior al dictado del citado Auto para que se dicte una nueva resolución respetuosa con el derecho fundamental que ha de ser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 2015 se señaló para deliberación y fallo de la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por no haberse citado en el escrito de preparación los concretos preceptos o la jurisprudencia que se reputan infringidos ha vulnerado (i) el derecho a la tutela judicial efectiva (art. 24.1 CE) desde la perspectiva del derecho de acceso al recurso, (a) por referirse a una causa de inadmisión sin cobertura legal y (b) porque es una exigencia que no era conocida ni predecible a tenor de la jurisprudencia aplicable en el momento en que se presentó el escrito de preparación, a pesar de lo cual se intentó su subsanación; y (ii)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invocaciones constitucionales en que se fundamenta este recurso ya han sido objeto de análisis por el Pleno de este Tribunal en la STC 7/2015,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lo expuesto en esa Sentencia, debe desestimarse la lesión aducida del derecho a la tutela judicial efectiva (art. 24.1 CE) por falta de cobertura legal de la causa de inadmisión apreciada, ya que, tal como se argumentó extensamente en su fundamento jurídico 2, la exigencia del requisito formal de citar en el escrito de preparación los concretos preceptos o la jurisprudencia que se reputan infringidos está dentro de las facultades jurisprudenciales que corresponden al Tribunal Supremo en la interpretación de la ley sobre los requisitos del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descartarle la lesión aducida del derecho a la igualdad en la aplicación de la ley. En el fundamento jurídico 4 de la Sentencia citada, ya se puso de manifestó 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y razona explícitamente la alteración doctrinal, que se justifica a partir de la finalidad que debe cumplir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debe estimarse la vulneración del derecho a la tutela judicial efectiva (art. 24.1 CE) fundamentada en que, contrariamente al parámetro de racionalidad, la decisión de inadmisión impugnada no tomó en consideración que la exigencia del requisito controvertido, que no era conocido ni predecible para la parte recurrente en el momento en que se presentó el escrito de preparación, se intentó subsanar, una vez establecido este nuevo criterio jurisprudencial, mediante la presentación de un escrito complementario de adecuación a las nuevas exigencias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se expuso en la citada STC 7/2015, FJ 3, la efectividad del derecho a la tutela judicial efectiva requiere la anulación de la resoluciones impugnadas y la retroacción de actuaciones para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Antonio Joan Bagué,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2 de febrero de 2012 y de la providencia de 7 de mayo de 2012, dictados en el recurso de casación núm. 2989-2011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3819-2012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