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4657-2014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4657-2014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julio de 2014, el Procurador de los Tribunales don Antonio Ortega Fuentes, en nombre y representación de don Christopher Frank Carandini Lee, y bajo la dirección de los Letrados don Andrés Reina Agero y don Alejandro Jiménez Miles, interpuso recurso de amparo contra el Auto del Juzgado de lo Mercantil núm. 1 de Burgos de 3 de junio de 2014, que desestima el incidente de nulidad de actuaciones interpuesto contra el Auto de 26 de octubre de 2009, recaído en el procedimiento de ejecución de títulos judiciales núm. 695-2009, en que se acordaba despachar ejecución, entre otros extremos, por la cantidad de 710.000 € a cuyo pago había sido condenado solidariamente el recurrente por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parcial de la resolución judicial impugnada en lo relativo al demandante de amparo, argumentando que su ejecución produce un perjuicio irreparable por la elevada cuantía de la cantidad a abonar y la avanzada edad del recurrente y la inexistencia de perjuicios para la contraparte, ya que dicha cantidad lo era para el abono de un lucro cesante y la suspensión se pide solo de manera parcial en relación con uno de los obligados al pago. Para el caso en que se acepte la suspensión se hace ofrecimiento de constituir fianza de por la cantidad de 3.000 €.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Secretaria de Justicia de la Sección Primera de este Tribunal, mediante diligencia de ordenación de 1 de julio de 2015, tuvo por sustituida procesalmente a doña Birgit Lee respecto del recurrente, con motivo de su fallecimiento.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providencia de 30 de noviembre de 2015, acordó la admisión a trámite de la demanda de amparo y la formación de pieza separada para la tramitación del incidente sobre la suspensión solicitada. La Sección Primera de este Tribunal, por providencia de 30 de noviembre de 2015, acordó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16 de diciembre de 2015, presentó alegaciones en las que, enunciando la jurisprudencia de este Tribunal sobre el particular, interesó que se denegara la suspensión, argumentando que, a pesar de la alta cuantía de la cantidad reclamada, en ningún momento se ha justificado el carácter irreversible del perjuicio ni se razona en qué forma su abono le ocasionaría un grave quebranto en atención a su situación económico-financiera. También, se pone de manifiesto que el resto de circunstancias alegadas en la demanda no resultan relevantes para apreciar la irreparabilidad del perjuicio, como presupuesto material esencial para conceder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por sucesión procesal, por escrito registrado el 9 de diciembre de 2015, presentó alegaciones reiterando íntegramente lo expuesto en su demanda de amparo, incluyendo la circunstancia de que sigue concurriendo, al igual que en el demandante originario, una avanzada edad en su viuda. También se refiere en el escrito al “hecho evidente de que en la sucesión de la parte fallecida ha de estarse a lo que resulte del proceso sucesorio que se insta por los familiares del fallecido en el Reino Unido y conforme a la legislación nacional que le es de aplicación”.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Por su parte, el artículo 56.3 establece que se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adopción de medidas cautelares en el procedimiento de amparo, este Tribunal ha declarado que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del fallo de la resolución impugnada respecto del que se pide la suspensión es exclusivamente de carácter económico. Por tanto, conforme a la jurisprudencia constitucional ya reseñada, solo la concurrencia de excepcionales circunstancias vinculadas a la irreparabilidad de los perjuicios económicos que se pudieran irrogar con la ejecución y su debida acreditación justificaría una decisión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sin embargo, tal como destaca el Ministerio Fiscal en su informe, más allá del hecho objetivo de la alta cuantía de la cantidad a abonar, no se ha desarrollado ni el más mínimo esfuerzo argumental para poner de manifiesto a este Tribunal cómo repercutiría su ejecución en el patrimonio del obligado al pago. Esa situación de indeterminación de los eventuales perjuicios se ve ahora agravada, incluso, con la circunstancia puesta de manifiesto por la sucesora procesal en su escrito de alegaciones de que no están determinados los herederos del recurrente por no haber finalizado el proceso sucesorio seguido al efecto en el Reino Unido y, por tanto, que ni siquiera están determinados subjetivamente los obligados al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concretas circunstancias en que resultan indeterminados los perjuicios alegados y, propiamente, también resulta indeterminada la concreta persona o personas respecto de las que debería predicarse la irreparabilidad de un eventual perjuicio, este Tribunal no puede acceder a la suspensión solicitada por insuficiente acreditación de la concurrencia de sus presupuestos materiales.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