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Antonio Narváez Rodríguez en el recurso de amparo núm. 4703-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presente recurso de amparo se impugnan Autos de 30 de mayo de 2011 y 1 de junio de 2012 dictados por la Sección Séptima de la Sala de lo Contencioso-Administrativo del Tribunal Supremo en el recurso ordinario 153-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5 de febrero de 2016 el Magistrado don Antonio Narváez Rodríguez comunicó a los efectos oportunos que se abstenía de intervenir en el antes indicado recurso de amparo, de conformidad con el art. 80 de la Ley Orgánica del Tribunal Constitucional, por haber representado al Ministerio Fiscal en el recurso 153-2011 interpuesto ante el Tribunal Supremo, proceso del que trae causa el presente recurso de amparo núm. 4703-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Antonio Narváez Rodríguez, Magistrado de esta Sala del Tribunal Constitucional, la Sala, en virtud de lo previsto en el art. 219 apartados 13 y 16 de la Ley Orgánica del Poder Judicial, supletoria de la Ley Orgánica del Tribunal Constitucional: LOTC (art. 80), estima justificada la causa de abstención formulada, puesto que el mencionado Magistrado intervino en representación del Ministerio Fiscal en el recurso ordinario 153-2011 seguido en la Sección Séptima de la Sala de lo Contencioso-Administrativo del Tribunal Supremo que dictó los Autos de fechas 30 de mayo de 2011 y 1 de junio de 2012, resoluciones que han sido impugnadas en el presente recurso de amparo núm. 4703-20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Antonio Narváez Rodríguez en el recurso de amparo núm. 4703-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