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3857-2015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3857-2015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las resoluciones recurridas, dictadas en el procedimiento de ejecución hipotecaria núm. 827-2012 y de toda actuación judicial sucesiva que pueda tener como efecto la adjudicación a terceros del inmueble objeto del litigio.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30 de junio de 2015, la Procuradora de los Tribunales doña Concepción Delgado Azqueta, en nombre y representación de Cap Deu, S.L., y Lasbolis 2001, S.L., interpuso demanda de amparo contra el Auto de 14 de mayo de 2015 de la Sección Octava de la Audiencia Provincial de Sevilla, dictado en recurso de apelación núm. 7452-2014-A, confirmatorio del de 24 de abril de 2014 del Juzgado de Primera Instancia núm. 2 de Sevilla, en ejecución hipotecaria núm. 827-2012, que acordó el sobreseimiento de la oposición a la ejecución hipotecaria formulada por las sociedades recurrentes, teniéndolas por desistidas, al no comparecer a la vista con procurador (art. 560, párrafo cuarto,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recurrentes en amparo denuncian en su demanda la vulneración del derecho a la tutela judicial efectiva sin indefensión (art. 24.1 CE). Subrayan que no desistieron de su demanda de oposición a la ejecución, ni de la vista ni del procedimiento, como probaría que su Letrado expresase su protesta en la comparecencia y de forma clara, en esa vista del incidente de oposición celebrada el día 23 de abril de 2014, su interés en continuar con la demanda de oposición. El retraso de unos pocos minutos de la Procuradora que tenía que representar a las recurrentes, por tanto, no podría calificarse como un acto de desistimiento. Las resoluciones impugnadas, además de contrarias a la jurisprudencia del Tribunal Supremo y del Tribunal Constitucional, carecen en consecuencia de motivación, no razonando su decisión a la vista de una regulación legal que, en el art. 560 de la Ley de enjuiciamiento civil, dispone la asistencia a la vista del ejecutado, como aquí ocurrió, sin señalar en cambio que el procurador esté obligado a acudir también a la misma. El sobreseimiento acordado, sin causa legal que lo ampare, sería por todo ello contrario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la Sala Segunda de este Tribunal, por providencia de 29 de octubre de 2015, declaró la inadmisión del recurso de amparo por manifiesta inexistencia de violación de un derecho fundamental tutelable en amparo; violación que, de acuerdo con el art. 44.1 de la Ley Orgánica del Tribunal Constitucional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escrito registrado el día 26 de noviembre de 2015, interpuso recurso de súplica contra la referida providencia de inadmisión, que fue estimado por Auto de 9 de febrero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 de marzo de 2016 dictó la Sección Cuarta de la Sala Segunda de este Tribunal dos providencias, acordando, respectivamente, la admisión a trámite del recurso de amparo y la formación de la oportuna pieza para la tramitación del incidente de suspensión, concediéndose en esta última, conforme a lo dispuesto en el art. 56 LOTC,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dicho trámite, aducen las sociedades recurrentes que la ejecución de los Autos recurridos causaría perjuicios irreparables para sus intereses, pues conllevaría la adjudicación de la finca hipotecada a la entidad Ibercaja, al haberse celebrado ya la subasta, pudiendo ésta disponer sucesivamente de la misma a favor de terceros y resultando, en consecuencia, que la finca litigiosa dejaría de ser propiedad de quienes formalizan este recurso y que quedarían sin tutela los derechos aducidos. Por lo demás, añaden, la necesidad de que este Tribunal acuerde la suspensión se confirma una vez acreditado que el Juzgado de Primera Instancia núm. 2 de Sevilla ha desestimado, en providencia de 16 de septiembre de 2015, la petición formulada por las sociedades demandantes en orden a la suspensión del procedimiento hasta la decisión final sobre el recurso de amparo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el día 10 de marzo de 2016, el Ministerio Fiscal interesa que se acuerde la suspensión solicitada. Tras exponer los antecedentes del caso y la doctrina de este Tribunal sobre la materia, concluye que la tramitación de la ejecución podría acarrear el perjuicio que aducen las recurrentes (la adjudicación a un tercero de la finca hipotecada), careciendo entonces una eventual y sucesiva concesión del amparo de efectividad para salvaguardar el derecho fundamental que se invoca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las sociedades demandantes de amparo han solicitado la suspensión cautelar de los Autos recurridos: Auto de 14 de mayo de 2015 de la Sección Octava de la Audiencia Provincial de Sevilla, dictado en recurso de apelación núm. 7452-2014-A, y Auto de 24 de abril de 2014, del Juzgado de Primera Instancia núm. 2 de Sevilla, en el procedimiento de ejecución hipotecaria núm. 827-2012. Según su alegato, de no acordarse la suspensión de su ejecución podrían producirse actos de adjudicación de la finca controvertida en el proceso, que consolidarían una situación difícilmente reversible. El Ministerio Fiscal comparte la tesis indicada, interesando la concesión de la suspensión de la ejecución que se nos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de la que es buena muestra el ATC 74/2013, de 8 de abril, y las resoluciones que en él se citan, este Tribunal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esta doctrina constitucional, y sin prejuzgar la decisión de fondo del recurso, procede acordar la suspensión solicitada, pues en otro caso, de continuarse con la ejecución según se desprendería de la providencia de 16 de septiembre de 2015 del Juzgado de Primera Instancia núm. 2 de Sevilla, que ha desestimado la petición de suspensión de las sociedades recurrentes en amparo, se podría efectivamente materializar la transmisión del dominio del bien inmueble objeto del litigo, como aducen aquéllas y el Ministerio Fiscal. Podría crearse, en consecuencia, una situación difícilmente reversible que haría perder al recurso de amparo su finalidad. No se advierte en este momento procesal, por lo demás,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las resoluciones recurridas, dictadas en el procedimiento de ejecución hipotecaria núm. 827-2012 y de toda actuación judicial sucesiva que pueda tener como efecto la adjudicación a terceros del inmueble objeto del litigio.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