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2557-2017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2557-2017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artículo 3, en la parte por la que se da nueva redacción a los artículos 621-1 a 621-54 (contrato de compraventa) y a los artículos 621-56 y 621-57 (contrato de permuta); del artículo 4, por el que se da nueva redacción a los artículos 622-21 a 622-42 del Código civil de Cataluña y del artículo 9, en tanto que introduce una disposición transitoria primera en el libro sexto del Código Civil de Cataluña, de la Ley 3/2017, de 15 de febrero, del libro sexto del Código civil de Cataluña, relativo a las obligaciones y los contratos, y de modificación de los libros primero, segundo, tercero, cuarto y quinto.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22 de mayo de 2017, el Abogado del Estado, en representación del Presidente del Gobierno, interpuso recurso de inconstitucionalidad contra el artículo 3 en la parte por la que se da nueva redacción a los artículos 621-1 a 621-54 (contrato de compraventa) y a los artículos 621-56 y 621-57 (contrato de permuta) del libro sexto del Código civil de Cataluña; el artículo 4, por el que se da nueva redacción a los artículos 622-21 a 622-42 del Código civil de Cataluña y el artículo 9, en tanto que introduce una disposición transitoria primera en el libro sexto del Código civil de Cataluña, de la Ley 3/2017, de 15 de febrero, del libro sexto del Código civil de Cataluña, relativo a las obligaciones y los contratos, y de modificación de los libros primero, segundo, tercero, cuarto y quinto. El Abogado del Estado invocó los artículos 161.2 CE y 30 de la Ley Orgánica del Tribunal Constitucional (LOTC), a fin de que se acordase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6 de junio de 2017 el Pleno, a propuesta de la Sección Tercera, acordó admitir a trámite el recurso de inconstitucionalidad promovido por el Presidente del Gobierno contra los referidos preceptos de la Ley de Cataluña 3/2017, de 15 de febrero, del libro sexto del Código civil de Cataluña, relativo a las obligaciones y los contratos, y de modificación de los libros primero, segundo, tercero, cuarto y quinto. Asimismo se acordó dar traslado de la demanda y documentos presentados, según prevé el artículo 34 LOTC, al Congreso de los Diputados y al Senado, por conducto de sus Presidentes, así como a la Generalitat y Parlamento de Cataluña, por conducto de sus Presidentes, al objeto de que, en el plazo de quince días, pudieran personarse en el proceso y formular las alegaciones que estimaren convenientes. Se acordó también tener por invocado por el Presidente del Gobierno el artículo 161.2 CE, lo que, conforme dispone el artículo 30 LOTC, produjo la suspensión de la eficacia de los preceptos impugnados, desde la fecha de interposición del recurso —22 de mayo de 2017— para las partes del proceso y desde el día en que aparezca publicada la suspensión en el “Boletín Oficial del Estado” para los terceros, lo que se comunicó a los Presidentes del Gobierno y del Parlamento de Cataluña, y publicar la incoación del recurso en el “Boletín Oficial del Estado” y en el “Diario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20 de junio de 2017, la Presidenta del Congreso de los Diputados comunicó a este Tribunal el acuerdo de la Mesa de la Cámara en el sentido de darse por personada en el proceso, ofreciendo su colaboración a los efectos del artículo 88.1 LOTC. Idéntica comunicación del Presidente del Senado se registró el 22 de junio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4 de julio de 2017 la Letrada del Parlamento de Cataluña se personó en este proceso constitucional y presentó sus alegaciones oponiéndose a la estimación del recurso de inconstitucionalidad, solicitando que se declarase la plena constitucionalidad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6 de julio de 2017 se personó el Abogado de la Generalitat de Cataluña, formuló alegaciones y solicitó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por providencia de 11 de julio de 2017, acordó incorporar a los autos los anteriores escritos de 4 y 6 de julio de 2017 presentados, respectivamente, por el Parlamento y el Gobierno de Cataluña y, al estar próximo a finalizar el plazo de cinco meses que establece el artículo 161.2 CE desde que se produjo la suspensión del precepto impugnado en este recurso de inconstitucionalidad, acordó oír a las partes personadas para que, en el plazo de cinco días, expusieran lo que considerasen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18 de julio de 2017 el Abogado del Estado presentó sus alegaciones solicitando el mantenimiento de la suspensión de los preceptos impugnados. Tras exponer la doctrina constitucional sobre la resolución de este tipo de incidentes, analiza específicamente los perjuicios que causaría el levantamiento de la suspensión. El Abogado del Estado fundamenta sus alegaciones en el informe que, a estos efectos, elaboró la Secretaria General Técnica del Ministerio de Justicia de 16 de junio de 2017. Este informe ha sido aportado a las presentes actuaciones. El Abogado del Estado alega que, según el referido informe, el levantamiento de la suspensión afectaría a la seguridad jurídica de los titulares de derechos subjetivos y relaciones jurídicas civiles de carácter patrimonial y mercantiles (se considera que, en función del tipo y volumen de contratos de compraventa que se lleven a efecto pueden afectar también a este ámbito) que hayan podido surgir al amparo de los preceptos recurridos. Según se afirma, como el contrato de compraventa y de permuta que regulan los preceptos impugnados tienen un régimen jurídico distinto al establecido en el Código civil para ese tipo de contratos, por lo que en el caso de que se estimara el recurso y se declarase su inconstitucionalidad y nulidad el contenido de los derechos y obligaciones a los que pueden verse sujetos quienes celebraron esos contratos serían distintos de los que negociaron en su momento, lo que “afectaría a la seguridad de sus pretensiones, y por ende al principio de confianza en el ordenamiento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invoca “como parámetro de valoración” el artículo 129 de la Ley 39/2015, de 1 de octubre, de procedimiento administrativo común de las Administraciones Públicas, en el que se establece que, al regular los principios de buena regulación, establece que a fin de garantizar la seguridad jurídica la iniciativa normativa se ejercerá de manera coherente con el resto del ordenamiento.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Abogado del Estado señala que el informe del Ministerio de Justicia fundamenta el mantenimiento de la suspensión de los preceptos impugnados en “la seguridad preventiva”. Se considera que tanto el contrato de compraventa como el de permuta son dos instituciones jurídicas básicas del sistema hipotecario español al regular la transmisión de bienes inmuebles y la constitución, modificación y extinción de derechos reales sobre los mismos, de conformidad con lo dispuesto en el artículo 1 de la Ley hipotecaria. Entiende el Abogado del Estado que si accedieran al Registro de la Propiedad las transmisiones reguladas por los preceptos impugnados estarían accediendo titularidades o intereses “claudicantes”, cuya eficacia vendría determinada por la posible inconstitucionalidad de la norma. A su juicio, tal situación tendría como consecuencia que los terceros no pudieran confiar en las inscripciones del Registro, pues el contenido de los derechos y obligaciones que se reflejaran en el mismo podrían ser distintos en función de la ley a que estuvieran sometidos. Por ello, sostiene que tal situación afectaría a la figura del tercero hipotecario que reconoce el artículo 34 de la Ley hipotecaria y todo el sistema traslativo español, pues las transacciones que se hicieran no podrían contar con esa garantía.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alega que el levantamiento de la suspensión podría determinar que, en el caso de que se estimara el recurso de inconstitucionalidad, muchos de los negocios jurídicos celebrados al amparo de las normas impugnadas se resolvieran por nulidad, sin que los afectados por tales negocios pudieran invocar la buena fe con el fin de mantener las situaciones jurídicas creadas a su amparo, pues la existencia del recurso de inconstitucionalidad contra la preceptos aplicados pondría de manifiesto que la norma aplicada podía ser declarada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Abogado del Estado solicita que el Tribunal mantenga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del Parlamento de Cataluña, por escrito de registrado el 24 de julio de 2017, formuló alegaciones por las que solicita el levantamiento de la suspensión de los preceptos impugnados en el presente recurso de inconstitucionalidad. Alega, en primer lugar, que, como el Abogado del Estado interesó la suspensión al amparo del artículo 161.2 CE, lo que conlleva la suspensión automática de la eficacia de los artículos recurridos, y no conoce los motivos en los que el Abogado del Estado va a fundamentar su petición de mantenimiento de la suspensión, caso de que inste esta medida, sus alegaciones no pueden tener como objeto desvirtuar los argumentos que pueda aducir el Abogado del Estado en este incidente. La representante del Parlamento de Cataluña invoca la doctrina constitucional en la que se sostiene que la presunción de legitimidad de las leyes determina que la suspensión de su eficacia sea una medida excepcional que solo cabe adoptarla cuando existan sólidos argumentos que la justifiquen. También sostiene que estos argumentos, según ha establecido este Tribunal, debe aportarlos el Gobierno del Estado que es a quien corresponde acreditar que los perjuicios que ocasionaría el levantamiento de la suspensión de los preceptos impugnados en este recurso. Junto a ello alega que también es doctrina constitucional (invoca el ATC 189/2001, de 3 julio, FJ 2) que la verosimilitud de los perjuicios alegados no puede quedar condicionada a la necesidad de proceder al análisis de fondo del asunto. Por último, cita el ATC 44/2011, de 12 de abril, FJ 2, en el que se establece que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105/2010, de 29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Letrada del Parlamento entiende que en este caso el levantamiento de la suspensión no puede comportar perjuicios de ningún tipo, pues los preceptos recurridos, a tenor de lo dispuesto en la disposición final novena de la Ley, no entrarán en vigor hasta el 1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 que se acuerde el levantamiento de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24 de julio de 2017 el Abogado de la Generalitat de Cataluña formuló alegaciones. Tras citar la doctrina constitucional establecida en relación con este incidente alega que, al haberse acordado la suspensión en virtud de lo dispuesto en el artículo 161.2 CE y no conocer las alegaciones en las que el Abogado del Estado puede fundamentar el mantenimiento de la suspensión acordada, caso de que lo solicite, se ve obligado a formular sus consideraciones de modo genérico, que, a su juicio, es, a su vez, el planteamiento de la demanda. Según se alega, en el recurso se plantean cuestiones generales en materia de competencia legislativa, pero propiamente no se entra a analizar el contenido concreto de los preceptos impugnados. Considera el Abogado de la Generalitat que el contenido de la nueva regulación contractual sobre la compraventa, la permuta, el mandato y la gestión de asuntos ajenos sin mandato aprobado por la Ley 3/2017 es considerado inconstitucional por incompetencia del Parlamento catalán para dictarlo como derecho civil de aplicación en Cataluña sin detenerse en analizar la conexión de esta regulación con las instituciones y principios jurídicos del derecho civil catalán preexistente. En su opinión, este enfoque del recurso no justifica la drástica medida de mantener la suspensión de los preceptos recurridos, pues, según sostiene, “su aplicación no ha de empañar los efectos de la Sentencia que en su día se dicte”.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sostiene el Abogado de la Generalitat que la regulación de determinados contratos que se establece en la Ley 3/2017 es en gran parte de tipo dispositivo y, por tanto, su contenido dependerá de lo que decidan las partes al respecto. De ahí que considere que, en este contexto, mantener la suspensión carece de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los perjuicios que la aplicación de los preceptos recurridos pudiera ocasionar, se alega que es al Abogado del Estado a quien le corresponde acreditarlos. No obstante, se indica también que la aplicación de la nueva regulación catalana de contratos como la compraventa o el mandato no va a suponer ningún cambio conceptual importante, pues se limita a regular tipos contractuales perfectamente conocidos y consolidados desde hace siglos, a los que añade nuevos matices, actualizando y haciendo más operativa la regulación. Según se aduce, el denominador común que une los ordenamientos civiles catalán, español y europeo hace que la aplicación de la Ley catalana 3/2107 no pueda provocar perjuicios graves al interés general. Asimismo se sostiene que las normas referentes a la compraventa de consumo no comportan la introducción de ninguna distorsión en el ordenamiento jurídico porque estas normas son transposición de las directivas europeas.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alega que en el presente caso se da la circunstancia de que, en virtud de lo dispuesto en la disposición final novena de la Ley 3/2017, los preceptos recurridos no entran en vigor hasta el 1 enero de 2018, por lo que la regulación impugnada no es todavía aplicable. También se indica que esta circunstancia hace que el Tribunal pueda resolver las cuestiones de fondo planteadas en el recurso antes de que los preceptos impugnados entren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consideraciones expuestas llevan a la Generalitat a solicitar el levantamiento de la suspensión de los preceptos impugnados en el presente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eficacia del artículo 3, en la parte por la que se da nueva redacción a los artículos 621-1 a 621-54 (contrato de compraventa) y a los artículos 621-56 y 621-57 (contrato de permuta) del libro sexto del Código civil de Cataluña; el artículo 4, por el que se da nueva redacción a los artículos 622-21 a 622-42 del Código civil de Cataluña y el artículo 9, en tanto que introduce una disposición transitoria primera en el libro sexto del Código civil de Cataluña, de la Ley 3/2017, de 15 de febrero, del libro sexto del Código civil de Cataluña, relativo a las obligaciones y los contratos, y de modificación de los libros primero, segundo, tercero, cuarto y quinto. Al haber invocado el Presidente del Gobierno el artículo 161.2 CE en el recurso de inconstitucionalidad que interpuso contra los referidos preceptos, la admisión a trámite del recurso determinó la suspensión de la eficacia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advertir que, en virtud de lo dispuesto en la disposición final novena de la Ley 3/2017, de 15 de febrero, los preceptos impugnados no entran en vigor hasta el 1 de enero de 2018. La situación de vacatio legis en la que se encuentran estas normas no impidió al Tribunal acordar su suspensión en la providencia de 6 de junio de 2017 ni le exime ahora de efectuar un pronunciamiento sobre la ratificación o levantamiento de la suspensión acordada en la referida providencia. De acuerdo con lo establecido el artículo 161.2 CE, “[l]a impugnación producirá la suspensión de la disposición o resolución recurrida, pero el Tribunal, en su caso, deberá ratificarla o levantarla en un plazo no superior a cinco meses”. Y para ello solo es preciso que el Presidente del Gobierno invoque en la demanda expresamente el artículo 161.2 CE. No es necesario, por tanto, que la norma que se recurra haya entrado en vigor para que pueda suspenderse.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la entrada en vigor de la norma determina que la regulación contenida en la misma resulte aplicable y tenga fuerza de obligar, por lo que solo tras su vigencia tendrá eficacia erga omnes. No obstante, de ello no cabe deducir que hasta ese momento carezca de toda eficacia. Su propia existencia tiene como efecto su integración en el ordenamiento jurídico, lo que conlleva que, aunque todavía su regulación no pueda ser aplicada a todos sus destinatarios ni, en consecuencia, sus previsiones puedan ser exigidas, los poderes públicos deban adoptar las medidas necesarias para que cuando la norma entre en vigor pueda desplegar todos sus efectos. Debe tenerse en cuenta, además, que la norma, una vez publicada, aunque no haya entrado en vigor, es ya parte del ordenamiento jurídico, por lo que puede ser tomada en consideración por los aplicadores del Derecho y de ello pueden derivarse también algunos efectos jurídicos indirectos, como puede ser su utilización como criterio interpretativo de otras disposiciones o actos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circunstancia de que en este momento los preceptos recurridos no hayan entrado todavía en vigor no determina que este incidente carezca de objeto, pues, como acaba de indicarse, estos preceptos, al ser parte del ordenamiento jurídico, aunque se encuentren en vacatio legis, son susceptibles de producir algunos efectos y son, precisamente, estos efectos a los que afecta la decisión relativa a la suspensión. Esto se entiende sin perjuicio de que en el momento en el que la norma entre en vigor y, por tanto, tenga eficacia plena, en el caso de que en esa fecha todavía se encuentre pendiente de resolución el presente recurso, esta decisión incida también sobre los efectos que se deriven de su vigencia.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afirma, entre otros muchos, en el ATC 169/2016, de 4 de octubre, FJ 2, existe una consolidada doctrina constitucional en relación con este tipo de incidentes de suspensión. Según esta doctrina, “para decidir si procede o no ratificar dentro del plazo de cinco meses que establece el artículo 161.2 CE la suspensión de la Ley autonómica impugnada en un recurso de inconstitucionalidad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este Tribunal ha establecido reiteradamente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(arts. 161.2 CE y 30 de la Ley Orgánica del Tribunal Constitucional: LOTC), no sólo invoque la existencia de aquellos perjuicios, sino que demuestre o, al menos, razone consistentemente su procedencia y la imposible o difícil reparación de los mismos, pues debe partirse en principio de la presunción de constitucionalidad de las normas objeto de recurso (entre otros, AATC 100/2002, de 5 de junio, FJ 2; 355/2007, de 24 de julio, FJ 2; 225/2009, de 10 de diciembre, FJ 2; 44/2011, de 12 de abril, FJ 2; 86/2012, de 8 de mayo, FJ 2; 122/2015, de 7 de julio, FJ 2, y 169/2016, de 4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indicado en los antecedentes de esta resolución, el Abogado del Estado considera que ha de mantenerse la suspensión de los preceptos impugnados en este proceso constitucional. Según se aduce, el levantamiento de la suspensión afectaría a la seguridad jurídica, pues en el caso de que se estimara el recurso y los preceptos impugnados fueran anulados, las relaciones jurídicas que se ampararan en los mismos se regirían por normas distintas de las que se tuvieron en cuenta cuando se celebraron los contratos. Tal circunstancia, en opinión del Abogado del Estado, conllevaría una gran inseguridad jurídica para los titulares de los derechos y obligaciones que surgieran como consecuencia de la aplicación de estas normas y afectaría al principio de confianza legítima.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 se sostiene también que el levantamiento de la suspensión afectaría al sistema hipotecario español. El Abogado del Estado considera que si accedieran al Registro de la Propiedad los actos o contratos amparados por los preceptos impugnados, al tratarse de negocios jurídicos celebrados en virtud de normas que han sido objeto de un recurso de inconstitucionalidad, el régimen de derechos y obligaciones derivado de los mismos podría verse afectado en el caso de que el recurso se estimara y se declarase la inconstitucionalidad de la ley a la que se encontraban sometidos. Esta circunstancia afectaría —a juicio del Abogado del Estado— a la figura del tercero hipotecario [art. 34 de la Ley hipotecaria (LH)], lo que determinaría, a su vez, que el sistema traslativo español se viera gravemente perturbado al no poder confiar en los pronunciamientos registrales.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Generalitat y el Parlamento de Cataluña solicitan el levantamiento de la suspensión. El Parlamento de Cataluña, tras exponer la doctrina constitucional relativa a este tipo de incidentes, aduce que en este caso el levantamiento de la suspensión no puede ocasionar perjuicios de ningún tipo, ya que, de acuerdo con lo previsto en la disposición final novena de la Ley del Parlamento de Cataluña 3/2017, de 15 de febrero, los preceptos impugnados no entran en vigor hasta el 1 de enero de 2018. La misma alegación formula también la Generalitat de Cataluña. Junto a ello aduce también la Generalitat que la regulación impugnada tiene, en su mayor parte, carácter dispositivo y por ello entiende que, al ser una regulación que es asumida por las partes en ejercicio de su autonomía de la voluntad, carecería de efectos prácticos mantener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Ha de señalarse, en primer lugar, que, como acaba de indicarse, la circunstancia de que los preceptos recurridos en este proceso no hayan todavía entrado en vigor no priva de objeto al presente incidente ni tampoco determina que, por este motivo, haya de levantarse la suspensión acordada en la providencia por la que el presente recurso se admitió a trámite en virtud de lo dispuesto en el artículo 161.2 CE y 30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perjuicios a la seguridad jurídica que, según afirma el Abogado del Estado, justificarían el mantenimiento de la suspensión, debe tenerse en cuenta la consolidada doctrina constitucional en la que se sostiene que los daños que pudieran producirse a la seguridad jurídica, “derivados de la confluencia entre una regulación estatal y otra autonómica son una consecuencia inherente a toda situación de pendencia de un recurso de inconstitucionalidad y consustanciales, por tanto, al funcionamiento del Estado de las Autonomías y a la coexistencia del ordenamiento estatal con los ordenamientos autonómicos”. De ahí que este Tribunal haya sostenido que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(entre otros muchos, AATC 156/2008, de 12 de junio, FJ 4; 60/2013, de 26 de febrero, FJ 5; 153/2014, de 27 de julio, FJ 3, y 18/2017, de 31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como se ha puesto de manifiesto, el Abogado del Estado fundamenta estos perjuicios en que, como los contratos de compraventa y permuta que regulan los preceptos impugnados tienen un régimen jurídico distinto al establecido en el Código civil, si estos preceptos fueran anulados por apreciarse su inconstitucionalidad, los derechos y obligaciones que derivasen de los mismos podrían verse afectados y podrían ser distintos de los que negociaron en su momento. Esta argumentación, sin embargo, no permite apreciar que, en el caso de que se produjera esta circunstancia, de la misma se fueran a derivar perjuicios irreparables. La mera alegación de que el régimen jurídico de estos contratos pudiera verse afectado en el supuesto de que se estimara la inconstitucionalidad de los preceptos recurridos no permite llegar a la conclusión de que tal afectación ocasionaría a los titulares de derechos u obligaciones derivados de los negocios jurídicos que hubieran podido celebrarse al amparo de los mismos unos perjuicios de difícil o imposible reparación. Como se ha indicado, los daños que pudieran ocasionarse a la seguridad jurídica como consecuencia de la duplicidad normativa que conlleva la existencia de un recurso de inconstitucionalidad es consustancial al funcionamiento de un Estado compuesto como el nuestro y a la coexistencia del ordenamiento estatal con los ordenamientos autonómicos (entre otras muchas, STC 140/2016, de 5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tampoco cabe apreciar que el levantamiento de la suspensión pueda afectar a lo que el Abogado del Estado denomina “seguridad preventiva”, esto es, al correcto funcionamiento del sistema hipotecario español. La posibilidad de que se declaren inconstitucionales los preceptos recurridos y que, como consecuencia de ello, los actos y contratos celebrados al amparo de los mismos puedan resolverse en nada afecta al correcto funcionamiento del sistema hipotecario. La publicidad que ofrece el Registro de la Propiedad no puede verse perjudicada porque puedan declararse inconstitucionales normas al amparo de la cuales han podido dictarse actos o contratos inscritos en el mismo. Tampoco puede apreciarse que el levantamiento de la suspensión afecte a la figura del tercero hipotecario que reconoce el artículo 34 LH. Las consecuencias que pudiera tener la declaración de inconstitucionalidad de los preceptos impugnados, caso de que el presente recurso llegara a estimarse, en los negocios jurídicos inscritos en el Registro de la Propiedad que se hubieran celebrado en aplicación de los mismos es una cuestión ajena al principio de buena fe registral que el referido precepto consagra.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tenerse en cuenta, por otra parte, que la declaración de inconstitucionalidad de una norma puede afectar a los actos dictados en su aplicación, por lo que para poder justificar en este motivo el mantenimiento de la suspensión no basta con alegar, como hace el Abogado del Estado, que los negocios jurídicos celebrados al amparo de estos preceptos pudieran verse afectados si este recurso se estima, sino que hubiera debido justificar que en este caso la eficacia de los preceptos impugnados podría conllevar, en el supuesto de que posteriormente fueran declarados inconstitucionales, perjuicios de difícil o imposible reparación para los titulares de las relaciones jurídicas creadas a su amparo. El Abogado del Estado, sin embargo, lo único que alega, como se ha indicado, es que la declaración de inconstitucionalidad de las normas impugnadas podría conllevar la nulidad de los negocios jurídicos celebrados a su amparo, pero ni expone las razones en las que fundamenta tal consecuencia, ni explica las razones por las que considera que los perjuicios que de ello pudieran derivarse pudieran ser irreparables o de muy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daños a la seguridad jurídica que pueda ocasionar la pendencia de este proceso constitucional son, por tanto, los que se derivan de cualquier impugnación, por lo que no justifican el mantenimiento de la suspensión de la eficacia de los preceptos recurridos. Como ha sostenido reiteradamente este Tribunal, “la suspensión solamente procede en presencia de perjuicios ciertos y efectivos, en ausencia de los cuales ha de atenderse a la presunción de validez propia de las Leyes” (AATC 156/2008, de 12 de junio, FJ 3; y 54/2016, de 1 de marzo, FJ 6, y 63/2017, de 25 de abril, FJ 3, entre otros). Y en este caso el Abogado del Estado, sobre el que pesa la carga de acreditar la existencia de los perjuicios y la imposible o difícil reparación de los mismos, no ha argumentado que los perjuicios en los que fundamenta el mantenimiento de la suspensión tienen la gravedad y la consistencia necesarios como para prevalecer sobre la presunción de constitucionalidad de las normas impugnadas.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artículo 3, en la parte por la que se da nueva redacción a los artículos 621-1 a 621-54 (contrato de compraventa) y a los artículos 621-56 y 621-57 (contrato de permuta); del artículo 4, por el que se da nueva redacción a los artículos 622-21 a 622-42 del Código civil de Cataluña y del artículo 9, en tanto que introduce una disposición transitoria primera en el libro sexto del Código Civil de Cataluña, de la Ley 3/2017, de 15 de febrero, del libro sexto del Código civil de Cataluña, relativo a las obligaciones y los contratos, y de modificación de los libros primero, segundo, tercero, cuarto y quinto.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