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57</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6 de mayo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los magistrados don Fernando Valdés Dal-Ré,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1373-2018, promovido por la Administración General del Estado, contra la sentencia de la Sección Tercera de la Sala de lo Contencioso-Administrativo del Tribunal Supremo de 7 de diciembre de 2017, recaída en el recurso de casación núm. 122-2016, y el auto de 29 de enero de 2018, que desestimó el incidente de nulidad de actuaciones promovido frente a la anterior. Han intervenido la entidad Asociación de Empresas Eléctricas (ASEME), representada por la procuradora de los tribunales doña Cecilia Díaz-Caneja Rodríguez y defendida por la letrada doña Irene Bartol Mir, la entidad Iberdrola S.A., representada por el procurador de los tribunales don José Luis Martín Jaurebeitia y defendida por el letrado don José Giménez Cervantes, y el ministerio fiscal. Ha sido ponente el magistrado don Antonio Narváez Rodríguez.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14 de marzo de 2018, el abogado del Estado, en representación de la Administración General del Estado, interpuso recurso de amparo contra las resoluciones referidas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resolver este recurso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fecha 6 de mayo de 2014, la entidad Asociación de Empresas Eléctricas (ASEME), interpuso recurso contencioso-administrativo contra la Orden IET/350/2014, de 7 marzo, por la que se fijan los porcentajes de reparto de las cantidades a financiar relativas al bono social correspondientes a 2014, la cual tiene como base normativa el art 45.4 de la Ley 24/2013, de 26 diciembre, del sector eléctrico (LSE).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fecha 5 de septiembre de 2015 ASEME presentó la demanda del recurso contencioso-administrativo, solicitando (i) que se declarase la ilegalidad y consiguiente inaplicación de la Orden IET/350/2014, de 7 marzo, y del art 45.4 de la LSE, por vulneración de lo dispuesto en el art 3 de la Directiva 2009/72 del Parlamento Europeo y del Consejo, de 13 de julio de 2009, sobre normas comunes para el mercado interior de la electricidad, por considerar que el mecanismo de financiación del bono social que se establece por las normas cuya inaplicabilidad se solicita es discriminatorio y no garantiza a las empresas eléctricas de la Unión Europea el acceso en igualdad de condiciones a los consumidores nacionales; ii) se declarase la ilegalidad y consiguiente anulación de la Orden IET/350/2014, de 7 marzo y del art 45.4 LSE 24/2013, por vulneración de los dispuesto en el art 9.3 y 14 CE, en la medida que el mecanismo de financiación del bono social que establecen esas normas resulta discriminatorio y por ello arbitrario; (iii) se declarase la ilegalidad y consiguiente anulación de la Orden IET/350/2014, de 7 marzo y del art 45.4 LSE 24/2013, por vulneración de los arts. 39 y 41 CE, al no configurarse el bono social como un coste a cargo de los presupuestos generales, siendo una ayuda social que debe recaer en los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Del citado recurso contencioso-administrativo, registrado con el núm. 181-2014, conoció la Sección Cuarta de la Sala de lo Contencioso-Administrativo de la Audiencia Nacional que, tras la tramitación del procedimiento, dictó sentencia el 2 de diciembre de 2015 desestimando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la sentencia dictada por la Sala de lo Contencioso-Administrativo de la Audiencia Nacional, interpuso ASEME recurso de casación, del que, con el núm. 122-2016, conoció la Sección Tercera de la Sala de lo Contencioso-Administrativo del Tribunal Supremo que dictó sentencia el 7 de diciembre de 2017, estimando el recurso de casación y anulando la sentencia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sentencia, la Sección Tercera de la Sala de lo Contencioso Administrativo del Tribunal Supremo estimó el recurso contencioso-administrativo interpuesto por ASEME y estableció el derecho de la recurrente a ser indemnizada por las cantidades abonadas en concepto de bono social en aplicación de la Orden IET/350/2014, de 7 marzo, que fue dictada en desarrollo del art 45.4 LSE, debiendo serle reintegradas todas las cantidades abonadas en ese concepto y correspondientes a 2014, con los intereses legales desde la fecha del pago hasta su reintegro.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se remite a las sentencias de la misma Sala de 24 de octubre de 2016 (recursos contencioso-administrativos núm. 960-2014 y 961-2014), 25 de octubre de 2016 (recurso núm. 16-2015) y 2 de noviembre de 2016 (recurso núm. 11-2015), en las que se declara inaplicable el régimen de financiación del bono social establecido en el artículo 45.4 de la Ley 24/2013, de 26 de diciembre, por resultar incompatible con la Directiva 2009/72/CE, del Parlamento Europeo y del Consejo, de 13 de julio de 2009, y se declara también inaplicables y nulos los artículos 2 y 3 del Real Decreto 968/2014, de 21 de noviembre, que desarrollan lo dispuesto en el citado artículo 45.4 de la Ley 24/2013, de 26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Tomando como muestra las resoluciones recaídas en el recurso contencioso-administrativo núm. 961-2014 recuerda lo que señala el fundamento jurídico 7 de la sentencia de 24 de octubre de 2016: “La Ley 24/2013 no contiene una relación nominal de las empresas o grupos de empresas que deben asumir la financiación del bono social. Fue la Orden IET/350/2014, de 7 de marzo, por la que se fijan los porcentajes de reparto de las cantidades a financiar relativas al bono social correspondientes a 2014 -Orden dictada en aplicación de lo previsto en el artículo 45.4 de la Ley 24/2013 , pero antes de que se hubiese producido el desarrollo reglamentario de ésta mediante el Real Decreto 968/2014- la que vino a identificar a las entidades concernidas y a fijar los porcentajes de reparto de las cantidades a financiar relativas al bono social correspondiente a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impugnada también se refiere al auto de la Sala de lo contencioso-administrativo del Tribunal Supremo de 18 de septiembre de 2017 (recurso núm. 961-2014), que señala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 así señalado en la propia sentencia que la Orden IET/350/2014 fue dictada en aplicación de lo previsto en el artículo 45.4 de la Ley 24/2013, y como sabemos, en el apartado 2 de la parte dispositiva de la sentencia se acuerda ‘2. Declarar inaplicable el régimen de financiación del bono social establecido en el artículo 45.4 de la Ley 24/2013, de 26 de diciembre, por resultar incompatible con la Directiva 2009/72/CE...’. Por tanto, bien podría decirse que la Orden IET/350/2014 tiene el mismo vicio de origen que el Real Decreto 968/2014, de 21 de noviembre, por cuanto ambos traen causa de un precepto legal que ha sido declarado inaplicable por resultar incompatible con la norma comunitaria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Sucede, sin embargo, que la sentencia no declara la nulidad de la Orden IET/350/2014 -no era objeto de impugnación en el proceso ni se formulaba pretensión respecto de ella- y en los apartados 3/ y 4/ del fallo se declaran inaplicables y nulos los artículos 2 y 3 del Real Decreto 968/2014, de 21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los pronunciamientos trascritos la sentencia del Tribunal Supremo examinada extrae la siguiente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“Vemos así que el vicio de origen que aqueja a la Orden IET/350/2014 aparece ya señalado de forma anticipada en los autos dictados en ejecución de las sentencias que declaran inaplicable el régimen de financiación del bono social establecido en el artículo 45.4 de la Ley 24/2013 e inaplicables y nulos los artículos 2 y 3 del Real Decreto 968/2014. Y si tales autos no declararon la nulidad de la Orden IET/350/2014 fue, sencillamente, porque la Orden no había sido objeto de impugnación en el proceso ni se había formulado pretensión respecto de ella. Además, en los propios autos quedaba señalado que no debíamos interferir entonces en lo que era objeto de otros litigios, pues la Orden IET/350/2014 había sido objeto de impugnación en diferentes recursos seguidos ante la Sala de lo Contencioso-Administrativo de la Audiencia Nacional y contra las sentencias recaídas en tales procesos se había interpuesto recursos de casación que se encontraban en aquel momento pendientes de resolución (recurso de casación 3127/2015, 3332/2015, 3374/2015, 3864/2015, 3875/2015, 3885/2015, 122/2016, 149/2016 y 714/2016)”.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esta sentencia la abogacía del Estado promovió incidente de nulidad de actuaciones en el que se alegaba vulneración del derecho a la tutela judicial efectiva y al proceso con todas las garantías, en cuanto al no planteamiento de cuestión prejudicial ante el Tribunal de Justicia de la Unión Europea y por no haberse planteado cuestión de inconstitucionalidad, e incongruencia omisiva. La Sección Tercera de la Sala de lo Contencioso del Tribunal Supremo desestimó dicho incidente de nulidad por auto de fecha 29 de enero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falta de planteamiento de la cuestión prejudicial, el órgano judicial rechaza que se hayan producido las vulneraciones objeto de denuncia, toda vez que en las sentencias antes citadas de 24 de octubre de 2016 (dos sentencias con esa fecha dictadas en los recursos 960-2014 y 961-2014), 25 de octubre de 2016 (recurso 16-2015) y 2 de noviembre de 2016 (recurso 11-2015), se explicitan las causas por las que no resulta precisa su formulación. En concreto, refiere que “no reiteraremos aquí las razones que dimos entonces, que la Abogacía del Estado conoce, sin duda, pues la Administración fue parte en todos aquellos procesos. Lo que interesa destacar ahora es que si el planteamiento de cuestión prejudicial ante el Tribunal de Justicia de la Unión Europea se consideró innecesario entonces, con mayor razón resultará innecesario el planteamiento de la cuestión prejudicial para declarar la nulidad de una Orden que fue dictada en desarrollo del precepto legal que entonces se declaró inaplicable por ser contrario al ordenamiento comunitario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razones análogas a las señaladas también se descarta la queja por no haberse planteado cuestión de inconstitucionalidad: “Una vez que por sentencia firme había sido declarado inaplicable el artículo 45.4 de la Ley 24/2013, por contravenir el Derecho de la Unión Europea, la constatación de que la Orden IET/350/2014 había sido dictada precisamente en desarrollo de aquel precepto legal llevaba directamente a la conclusión de que dicha Orden debía ser declarada nula, sin que para hacer tal pronunciamiento resultase necesario el previo planteamiento de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desecha la queja de haber incurrido en incongruencia omisiva, pues “si el motivo de nulidad se ciñe a la falta de examen en la sentencia de los argumentos esgrimidos por la Abogacía del Estado en su escrito de oposición del recurso de casación, lo cierto es que la razón dada en la sentencia para declarar nula la Orden IET/350/2014 —esto es, la existencia de pronunciamientos judiciales firmes que declaran inaplicable el precepto legal a que dicha Orden sirve de desarrollo— hacía innecesario el examen de aquellos argumentos de oposición, como innecesario se consideró también el examen de los motivos de casación formulados por la entidad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la Administración General del Estado denuncia la vulneración del derecho a la tutela judicial efectiva (art. 24.1 CE) y del derecho a un proceso con todas las garantías (art. 24.2 CE), por cuanto el órgano judicial no planteó cuestión prejudicial ante el Tribunal de Justicia de la Unión Europea, pese haber declarado inaplicable el art. 45.4 LSE por considerarlo incompatible con el art. 3.2 de la Directiva 2009/72/CE.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destacar los aspectos más relevantes del procedimiento judicial, la parte recurrente justifica la especial trascendencia constitucional del recurso por considerar que el Tribunal Constitucional carece de doctrina consolidada respecto del criterio de identidad o evidencia al que los órganos jurisdiccionales deben sujetarse para poder, en aplicación de la jurisprudencia del Tribunal de Justicia de la Unión Europea, exonerarse de plantear cuestión prejudicial, con base en la existencia del “acto claro” o “acto aclarado”, por la similitud que el supuesto presenta con un caso ya resuelto por el Tribunal de Justicia de la Unión Europea, y poder apreciar directamente que una disposición interna con rango de ley es contraria al Derecho europeo. Esa temática ostenta una clara relevancia pues, conforme a la STC 232/2015, dejar de aplicar una ley interna sin previamente plantear cuestión prejudicial ante el Tribunal de Justicia de la Unión Europea, por entender que dicha ley es contraria al Derecho de la Unión Europea, vulnera el derecho a un proceso con todas las garantías, si existe una duda objetiva, clara y terminante sobre esa supuesta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aduce que no corresponde al Tribunal Constitucional controlar la adecuación de la actividad de los poderes públicos nacionales al Derecho de la Unión Europea, pero sí determinar si las resoluciones judiciales impugnadas son contrarias al derecho a la tutela judicial efectiva reconocido en el art. 24 CE. Y, desde esta perspectiva lo verdaderamente primordial consiste en delimitar cuál es el alcance de las facultades que esos órganos ostentan y la amplitud del margen de interpretación del que disponen para inaplicar directamente una norma interna con rango de ley, por considerarla contraria al Derecho europeo, sin plantear previamente cuestión prejudicial ante el Tribunal de Justicia de la Unión Europea. Según el demandante, lo novedoso del caso reside en que, por considerar aplicable al presente supuesto la doctrina del “acto aclarado”, la decisión del órgano judicial ha supuesto el apartamiento de una norma con rango de ley de aplicación al caso, de manera que el citado órgano se ha convertido en un “legislador negativo”, cuyas facultades de valoración resultan sumamente trascendentes desde la perspectiva del derecho garantizado por 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la demanda se refiere exclusivamente a las sentencias del Tribunal Supremo a las que se remite la impugnada. En primer lugar, sintetiza las razones dadas por el órgano judicial para considerar inaplicable el modelo de financiación del bono social que prevé el art. 45.4 LSE; a saber, que es incompatible con el régimen jurídico establecido en el art. 3.2 de la Directiva 2009/72/CE, porque este precepto exige que las obligaciones de servicio público se definan claramente, sean transparentes, no discriminatorias y controlables y garanticen el acceso en igualdad de condiciones a los consumidores nacionales y, a su vez, porque el precepto inaplicado vulnera el principio de proporcionalidad, toda vez que la carga de la financiación se impone solamente a determinados agentes del sector eléctrico, de manera indefinida y sin ninguna compensación. La demanda sostiene que la argumentación que ofrece la sentencia impugnada para considerar innecesario el planteamiento de la referida cuestión prejudicial es meramente apodíctica y, por tanto, incurre en manifiesta falta de motivación que lesiona el derecho a la tutela judicial efectiva; y ello, porque el órgano judicial considera que el contenido de la sentencia del Tribunal de Justicia de la Unión Europea de 7 de septiembre de 2016 (asunto Anode), reproducido literalmente en alguno de sus párrafos, es trasladable al caso ahora examinado, pero no dice por qué razón lo es ni expone cuáles son esos criterios que resultan aplicables al presente caso, por lo que no se acierta a ver cuál es la semejanza con los considerandos de la sentencia del Tribunal de Justicia de la Unión Europea traída como parámetro de comparación.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afirma que la sentencia recurrida en esta sede aplica la doctrina del “acto aclarado” para justificar la falta de planteamiento de la cuestión prejudicial, pero estima que el criterio seguido es erróneo, pues no concurren las características o circunstancias que, conforme a la jurisprudencia consolidada del Tribunal de Justicia de la Unión Europea, determinan que resulte innecesaria la formulación de la cuestión prejudicial, pues ni puede imponerse con tal evidencia la similitud entre asuntos, de manera que no quepa albergar duda razonable sobre la solución de la cuestión, ni tampoco la cuestión suscitada es materialmente idéntica a otra anterior que hubiera sido objeto de una decisión prejudicial. Para la parte recurrente el Tribunal Supremo sustenta la aplicación al caso de la doctrina del “acto aclarado” en las sentencias recaídas en los asuntos Federutility y Anode que constituyen supuestos análogos que, conforme a la “doctrina Cilfit”, justifican la inaplicación del art. 45.4 LSE. Sin embargo, respecto de la sentencia del Tribunal de Justicia de la Unión Europea de 20 de abril de 2010 —asunto Federutility—, indica que la discriminación a la que se refieren sus parágrafos 45 y 46 nada tiene que ver con el trato peyorativo apuntado por los recurrentes en el caso que nos ocupa; en aquel asunto se planteó la posible discriminación que podría surgir por indiferenciación (que el tribunal remitente debe verificar), al imponer la normativa cuestionada la misma obligación de servicio público (ofrecer el precio de referencia) con independencia de que los suministradores sean o no mayoristas, lo que podría perjudicar a los suministradores de gas al detalle que no son simultáneamente mayoristas y beneficiar a los suministradores que sí reúnen tal condición, ya que estos últimos podrían verse inclinados a abusar de la ventaja que les proporciona la integración vertical, desplazando los menores ingresos del precio de referencia a los suministradores no mayoristas en las negociaciones entre unos y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administración esta cuestión no puede considerarse materialmente idéntica a la que se suscita en el presente caso, pues la supuesta discriminación que aprecia el tribunal a quo no trae causa de la indiferenciación sino de la diferencia de trato que, en perjuicio de determinadas empresas, establece la normativa inaplicada, al hacer recaer la financiación del bono social eléctrico sobre las matrices de determinados grupos empresariales que desarrollan simultáneamente las actividades de generación, distribución y comercialización. No hay, pues, identidad en el tipo de desigualdad ni tampoco en las situaciones y sujetos comparados. En apoyo de su tesis, la demandante cita una sentencia del Pleno de la Sala de lo Contencioso-Administrativo del Tribunal Supremo, concretamente la de fecha de 18 de noviembre de 2013, recaída en el recurso núm. 843-2013, en la que, a propósito del déficit de tarifa, se declaró la inhabilidad sustancial de la sentencia Federutility para ser invocada como supuesto idéntico en relación con la asunción de la financiación de ciertos costes del sector eléctrico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respecto a la segunda de las sentencias traídas a colación por el Tribunal Supremo, esto es, la sentencia del Tribunal de Justicia de la Unión Europea de 7 de septiembre de 2016 —asunto Anode— su doctrina no la considera aplicable al presente caso. Y ello porque, en aquel supuesto, los fines alegados para justificar la medida eran los de garantizar “la seguridad del suministro y la cohesión territorial”, que son distintos de los que se pretenden alcanzar mediante el bono social español, ya que éstos se refieren a la protección de los consumidores vulnerables, aspecto este que es completamente ajeno a la determinación de los componentes del precio del gas en aquel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margen de lo expuesto, para la demandante tampoco cabe entender que las consideraciones que se formulan en el parágrafo 71 de la sentencia recaída en el asunto Anode, acerca de la proscripción de discriminación entre compañías de gas, de manera que “el sistema de designación de las empresas encargadas de las obligaciones de servicio público no puede excluir a priori a ninguna de las empresas que operan en el sector de la distribución de gas”, sean extensibles al caso ahora enjuiciado. La obligación de financiar el bono social no se aplica a unos operadores determinados a priori, de forma nominativa y con exclusión de otros, sino que tal obligación se establece cada año, con eficacia temporal limitada y en función de circunstancias objetivamente determinadas, de manera que no hay una predeterminación apriorística del elenco de obligados.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la demanda invoca algunos de los argumentos que figuran en el voto particular formulado por el magistrado disidente a la sentencia de 24 de octubre de 2016, consistentes, en síntesis, en que concurren diferencias sustanciales entre el caso resuelto por el Tribunal de Justicia de la Unión Europea y los presupuestos fácticos y jurídicos examinados en el recurso contencioso-administrativo tramitado por el Tribunal Supremo, por lo que no resulta aplicable la doctrina del “acto aclarado” a fin de eludir el planteamiento de la cuestión prejudicial en el presente caso y se aduce en la demanda que el dictamen de la comisión permanente del Consejo de Estado, de fecha 6 de noviembre de 2014, emitido respecto del inicial proyecto de orden, por la que se desarrollaba la metodología para la fijación de los porcentajes de reparto de las cantidades a financiar, relativas al bono social (que luego se convirtió, precisamente a resultas de las consideraciones sobre su rango realizadas en el citado dictamen, en el Real Decreto 968/2014, de 21 de noviembre), se pronunció en términos contundentes sobre la conformidad de la norma reglamentaria reguladora del bono social con el ordenamiento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para la administración recurrente se ha vulnerado el art. 24 CE porque: i) al resolver el Tribunal Supremo ha desconocido el sistema de fuentes, no aplicando una norma con rango de ley indebidamente, pues previamente debió plantear cuestión prejudicial ante el Tribunal de Justicia de la Unión Europea; ii) incurre en un déficit de motivación, ya que no explica suficientemente las razones por las que considera que concurre la circunstancia del “acto aclarado”, como razón que le excusa de aplicar la norma española sin previamente plantear cuestión prejudicial ante el Tribunal de Justicia y iii) el juez nacional ha resuelto el proceso inmiscuyéndose en un ámbito o competencia jurisdiccional ajeno, dando lugar a que la controversia sea decidida por un juez o tribunal distinto del querido por 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16 de julio de 2018, la Sección Cuarta de este Tribunal acordó la admisión a trámite de la demanda de amparo presentada, “apreciando que concurre en el mismo una especial trascendencia constitucional (art. 50.1 LOTC) porque el recurso plantea un problema o afecta a una faceta de un derecho fundamental sobre el que no hay doctrina de este Tribunal [STC 155/2009, FJ 2 a)]”. En aplicación de lo dispuesto en el art. 51 de la Ley Orgánica del Tribunal Constitucional (LOTC), se acordó dirigir atenta comunicación a la Sección Tercera de la Sala de lo Contencioso-Administrativo del Tribunal Supremo a fin de que, en plazo que no excediera de diez días, remitiera certificación o fotocopia adverada de las actuaciones correspondientes al recurso de casación núm. 122-2016. Asimismo se acordó dirigir atenta comunicación a la Sección Cuarta de la Sala de lo Contencioso-Administrativo de la Audiencia Nacional, para que en el mismo plazo remitiese certificación o fotocopia adverada de las actuaciones correspondientes al recurso contencioso-administrativo núm. 181-2014 y procediese a emplazar a quienes hubieran sido parte en el procedimiento, a excepción de la parte recurrente en amparo, para que en el plazo de diez días pudiesen comparecer, si lo desean,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requeridas de los órganos judiciales, por diligencia de ordenación de la secretaría de justicia de la Sección Cuarta de este Tribunal de fecha 24 de septiembre de 2018, se acordó tener por personados y partes en el procedimiento al procurador don José Luis Martín Jaureguibeitia, en nombre y representación de Iberdrola, S.A., y a la procuradora doña Cecilia Díaz-Caneja Rodríguez, en nombre y representación de Asociación de Empresas Eléctricas (ASEME), ordenándose entender con ella las sucesivas diligencias, y, con arreglo al art. 52 LOTC, conceder a las partes personadas y al ministerio fiscal el plazo común de veinte días para que, con vista de las actuaciones, formulasen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fecha 22 de octubre de 2018 el ministerio fiscal presentó su escrito de alegaciones en el que termina solicitando que se estime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relatar los antecedentes fácticos y resumir las alegaciones formuladas por la parte recurrente, argumenta el fiscal ante el Tribunal Constitucional lo que se sintetiza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la Administración General del Estado ostenta legitimación, pues en el recurso de amparo se alega la vulneración de los derechos a la tutela judicial efectiva sin indefensión y al proceso debido, desde la perspectiva de las garantías procesales inherentes a los mismos que le son reconocidas a la administración como parte en los procesos judiciales; esto es “actuando al mismo tiempo un interés general que es el de la integridad del ordenamiento jurídico y de las normas legales que lo componen, dictadas por el Parlamento y que representan la voluntad popular ejercida a través del poder legislativo que la representa” (STC 58/2004,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ministerio fiscal explica el mecanismo del bono social que opera como una medida de protección de los consumidores de energía que son vulnerables, por cumplir determinadas condiciones sociales, de consumo y poder adquisitivo. Ese bono responde a las previsiones de la Directiva 2009/72/CE, en cuya virtud “los Estados miembros adoptarán las medidas oportunas para proteger a los clientes finales y, en particular, garantizarán una protección adecuada de los clientes vulnerables”. Seguidamente, trae a colación los antecedentes legislativos del bono social, comenzando por el Real Decreto-ley 6/2009, de 30 de abril, por el que se adoptaron determinadas medidas en el sector energético y se aprobó el bono social, que, en su preámbulo reflejaba el objeto al que respondía esa medida, y que en el art. 2.5 y la disposición transitoria segunda establecían el régimen de financiación del bono social. Esas disposiciones, recuerda el ministerio público, fueron enjuiciadas en la sentencia de la Sala Tercera del Tribunal Supremo de 7 de febrero de 2012, que consideró que ese régimen de financiación no cumplía las exigencias de transparencia, no discriminación, control y proporcionalidad exigidas por las normas de la Unión Europea; en concreto, por la Directiva 2003/54/CE. Por ello, el Tribunal Supremo resolvió la inaplicación de las disposiciones pertinentes del Real Decreto-ley citado, así como los de la Orden ITC 1723/2009, de desarrollo de aquel, sin plantear cuestión prejudicial ante el Tribunal de Justicia de la Unión Europea, por considerar que el sentido de la Directiva ya había sido aclarado en la sentencia de dicho tribunal europeo de 20 de abril de 2010, dictada en el asunto Federutility. Ello condujo a la Sala Tercera a declarar la inaplicabilidad del régimen de financiación del bono social establecido en las normas españolas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posterior del bono social se prevé en el artículo 45.4 de la Ley 24/2013, de 26 de diciembre, del sector eléctrico, más tarde modificada por el Real Decreto-ley 7/2016. Afirma el ministerio fiscal que esta disposición se corresponde con las previsiones del Real Decreto-ley 6/2009, pues establece que “será asumido por las matrices de los grupos de sociedades o, en su caso, sociedades que desarrollen simultáneamente las actividades de producción, distribución y comercialización de energía eléctrica”.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Más adelante, advierte de que la sentencia del Tribunal Supremo considera que los criterios reflejados en la exposición de motivos del Real Decreto-ley 9/2013 no justifican debidamente el sistema de financiación del bono social que, en síntesis, corre a cargo de las sociedades que realizan simultáneamente las actividades de generación, distribución y comercialización en el sector eléctrico. Tampoco, según la referida sentencia, aparece debidamente justificado el carácter no discriminatorio y proporcional de ese nuevo régimen de financiación, atendido el criterio que sostuvo la Abogacía del Estado en la contestación a la demanda, que se centraba en la especial posición que tienen, dentro del sector eléctrico, las empresas que constituyen un grupo integrado verticalmente y realizan, simultáneamente, las actividades ya indicadas, lo que les faculta para atemperar la incidencia de las obligaciones de servicio público puestas a su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doctrina constitucional, la correcta aplicación del Derecho de la Unión Europea es una cuestión infraconstitucional que corresponde a la jurisdicción ordinaria, a quien también compete decidir sobre el planteamiento de las cuestiones prejudiciales ante el Tribunal de Justicia de la Unión Europea, de acuerdo a lo preceptuado en el art. 267 Tratado de funcionamiento de la Unión Europea. Ahora bien, lo expuesto no significa que las decisiones judiciales sobre ese particular estén exentas de cualquier control de constitucionalidad pues, por el contrario, están sujetas al canon de control que es propio de cualquier resolución judicial. No obstante, el ministerio fiscal advierte del especial control de constitucionalidad que procede efectuar respecto de aquellas resoluciones judiciales que no aplican una norma legal interna, por su apreciada contrariedad con el Derecho de la Unión, sin plantear cuestión prejudicial, ni tampoco cuestión de inconstitucionalidad. Afirma que en estos casos —y no en los que el órgano judicial aplica la norma interna sin plantear cuestión prejudicial, por estimarla conforme con el Derecho de la Unión Europea (STC 27/2013)— se pueden lesionar los derechos a la tutela judicial efectiva y al proceso debido. En apoyo de lo expuesto trae a colación la STC 232/2015, de 5 de noviembre, FJ 5, para poner de relieve que la inaplicación de una ley interna por entenderla incompatible con el Derecho de la Unión Europea, sin previamente formular cuestión prejudicial ante el Tribunal de Justicia de la Unión Europea, resulta contraria al derecho a un proceso con todas las garantías (art. 24.2 CE), siempre que exista “una duda objetiva, clara y terminante sobre esa supuesta contradicción (STC 58/2004, FFJJ 9 a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Constitucional ha puesto de manifiesto que, en orden a enjuiciar desde la perspectiva del art 24. 1 CE, el carácter fundado de una resolución judicial que inaplica una norma legal vigente por su oposición al Derecho europeo, sin suscitar cuestión prejudicial, habrá que estar a lo establecido por la propia doctrina del Tribunal de Justicia de la Unión Europea acerca de los presupuestos para la formulación de la cuestión prejudicial, correspondiendo a los órganos judiciales apreciar la concurrencia de tales presupuestos (STC 78/2010, de 20 de octubre, FJ 2). En la misma línea el Tribunal Europeo de Derechos Humanos en su sentencia de fecha de 8 de abril de 2014, caso Dhabi contra Italia, también pone de manifiesto, en relación con el derecho al proceso debido reconocido en el art 6.1 del Convenio Europeo para la protección de los derechos humanos y de las libertades fundamentales, que los órganos judiciales nacionales deben justificar, de acuerdo con la doctrina del Tribunal de Justicia de la Unión Europea, los supuestos por los que deciden no plantear cuestión prejudicial y en los casos en que no se plantea la cuestión prejudicial y se inaplica directamente la norma legal nacional, se incide en la integridad del ordenamiento jurídico, al eludir también el control de la cuestión de inconstitucionalidad, sobre la base de la primacía del Derecho de la Unión. Así, en la STC 78/2010, el Tribunal Constitucional entró a enjuiciar, en el caso que examinaba, el carácter fundado de la resolución que había inaplicado la norma legal vigente, sin plantear cuestión prejudicial por estimar que ya existía una decisión prejudicial del Tribunal de Justicia de la Unión Europea sobre la cuestión objeto del proceso, y apreció que esta decisión del órgano judicial no estaba correctamente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Tras sintetizar la doctrina Cilfit sobre los supuestos de dispensa del planteamiento de la cuestión prejudicial, el ministerio fiscal compendia la argumentación judicial dada a favor de omitir la cuestión prejudicial. Sobre ese particular, pone de relieve que, en el fundamento jurídico 8 de las sentencias a las que se remite la recurrida, se afirma que, en la sentencia de 7 de febrero de 2012, el Tribunal Supremo resolvió que no era necesario plantear esa cuestión respecto de la correcta aplicación del art. 3.2 de la Directiva 2003/54/CE, sobre normas comunes para el mercado interior de la electricidad, puesto que ya existía una decisión prejudicial al respecto, concretamente la sentencia del Tribunal de Justicia de la Unión Europea de 20 de abril 2010 recaída en el asunto Federutility, que la referida resolución consideró como “acto aclarado”. En relación con el presente supuesto, el órgano judicial también considera que existen decisiones prejudiciales del Tribunal de Justicia de la Unión Europea en casos análogos; en concreto, la ya citada sentencia del Tribunal de Justicia de 20 de abril de 2010, dictada en al asunto Federutility, y la de 7 de septiembre de 2016, recaída en el asunto Anode. En relación con esta última sentencia, señala que el órgano judicial apreció que las consideraciones que en dicha resolución se formulan respecto de la normativa francesa sobre precios regulados en el suministro del gas, en relación con los requisitos que establece la Directiva 2009/73/CE para las obligaciones de servicio público impuestas a las empresas de gas natural, son trasladables a la regulación de la financiación del bono social que establece el art. 45.4 LSE; y, en base a ello, consideró que dicho precepto es contrario a lo dispuesto en el art. 3.2 de la Directiva 2009/72/CE, pues no cumple las condiciones de transparencia, no discriminación, control y proporcionalidad exigidas por esa directiva.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ministerio fiscal comparte el criterio de la administración recurrente acerca de que el Tribunal Supremo no ha justificado realmente que concurra un supuesto de “acto aclarado”, pues se ha limitado a expresar una declaración de voluntad, que es la de estimar que la decisiones del Tribunal de Justicia de la Unión Europea en esas sentencias son plenamente trasladables a la cuestión controvertida sobre la nueva regulación del régimen de financiación del bono social, pero no ofrece ninguna explicación sobre cuáles son los criterios que le permiten considerar que pueden ser aplicables, para resolver la cuestión controvertida, unas decisiones prejudiciales del Tribunal de Justicia de la Unión Europea que se pronuncian sobre la interpretación de las Directivas relativas al mercado del gas —y no sobre las del mercado de la electricidad— y además se refieren a otro tipo de obligaciones de servicio público distintas del bono social. La sentencia del caso Anode versa sobre un supuesto en el que la norma legal controvertida impone a determinadas empresas suministradoras de gas un precio regulado a clientes finales, a fin de garantizar el suministro y la cohesión territorial y por el contrario, en el caso que aquí nos ocupa el supuesto versa sobre una norma que regula el régimen de financiación por parte del sector eléctrico, de una medida destinada a favorecer al consumidor vulnerable.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entiende que no se ha apreciado correctamente la doctrina del “acto aclarado”, pues el objeto de la decisión prejudicial que fue resuelta por el Tribunal de Justicia de la Unión Europea (caso Anode) no puede ser considerado idéntico o análogo al actual; se trata de Directivas distintas, cuya aplicación se proyecta sobre los mercados interiores de dos productos energéticos diferentes (gas y energía); y la norma legal controvertida impone un precio regulado a determinadas suministradoras de gas, a fin de garantizar el suministro y la cohesión social (asunto Anode), mientras que en el proceso de origen del presente recurso de amparo, la cuestión discutida se refiere al régimen de financiación del bono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reitera que el tribunal a quo no ha apreciado correctamente la doctrina del “acto aclarado”, ya que la sentencia en que se basa el tribunal para considerar que puede abstenerse de plantear cuestión prejudicial no puede catalogarse como materialmente idéntica, ni que haya recaído en un asunto análogo, que permita conocer “de manera evidente y sin ninguna duda objetiva razonable cuál es la correcta aplicación de la norma europea en el caso controvertido”. Por tanto, la existencia de dudas razonables sobre la interpretación de la norma comunitaria, en relación con la regulación legal discutida, determina que no proceda considerar que concurra un supuesto de “acto aclarado”. A lo que cabe añadir que los supuestos de dispensa del planteamiento de la cuestión prejudicial deben ser objeto de interpretación estricta, tal y como pone de relieve la sentencia. También incide a favor de esas dudas la existencia de un voto particular en las sentencias dictadas por la Sección Tercera de la Sala de lo Contencioso del Tribunal Supremo en las que se basa la sentencia impugnada en esta sede y el dictamen del Consejo de Estado relativo al proyecto de orden por el que se desarrolla la metodología para la fijación de los porcentajes de reparto de las cantidades a financiar respecto del bono social, que satisface los requisitos impuestos por la normativa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estima que se han vulnerado los derechos fundamentales a la tutela judicial efectiva sin indefensión y al proceso debido (arts. 24. 1 y 2 CE), pues se ha incurrido en un exceso de jurisdicción al pronunciarse la Sala Tercera del Tribunal Supremo sobre la incompatibilidad de la norma legal con el Derecho europeo al margen del proceso debido, vulnerando el sistema de fuentes, al inaplicar directamente la norma legal vigente y eludir indebidamente el mecanismo de control, interesando una sentencia estimatoria del amparo solicitado, que anule las resoluciones impugnadas, con retroacción de actuaciones, al objeto de que por la Sala Tercera del Tribunal Supremo se dicte nueva resolución que sea respetuosa con los derechos fundamentales infringidos.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procuradora de los tribunales doña Cecilia Díaz-Caneja Rodríguez, en nombre y representación de ASEME, presentó sus alegaciones ante este Tribunal el 25 de octubre de 2018, interesando la inadmisión y, subsidiariamente,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delimitar el objeto del recurso y expresar su posición respecto del mismo, alega, en primer lugar, que procede su inadmisión por insuficiente justificación de la especial trascendencia constitucional, requisito indispensable para la admisión de acuerdo con el art. 50 LOTC. A su juicio, la demanda se limita a reiterar la supuesta existencia de la lesión de derechos fundamentales aducida, lo que resulta insuficiente según reiterada doctrina del Tribunal, citando al efecto las SSTC 128/2014, de 21 de julio, y 77/2015, de 27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considera esta parte codemandada que procede la inadmisión del recurso de amparo porque el mismo carece de especial trascendencia constitucional. A su juicio resulta improcedente justificar la especial trascendencia constitucional en la supuesta inexistencia de doctrina consolidada al respecto de los supuestos de exoneración en el planteamiento de cuestiones prejudiciales ante el Tribunal de Justicia de la Unión Europea, ya que este Tribunal se ha pronunciado en numerosas ocasiones sobre esta cuestión, refiriéndose a las SSTC 78/2010, de 20 de octubre; 145/2012, de 2 de julio, y 232/2015, de 5 de noviembre. Finalmente, dentro de este mismo apartado, admitiendo el carácter indeterminado del contenido de la expresión “especial trascendencia constitucional”, argumenta que no concurre ninguno de los supuestos contemplados en la STC 155/2009, de 25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y último lugar, aduce que procede la inadmisión o, subsidiariamente, la desestimación del recurso por inexistencia de las vulneraciones de los derechos fundamentales denunciadas. A su juicio, la sentencia impugnada no incurre en falta de motivación en lo que respecta a la posibilidad de inaplicar la normativa interna sin necesidad de plantear cuestión prejudicial, señalando que la simple discrepancia entre las partes no es justificación suficiente para apreciar la falta de motivación de la sentencia. Tampoco se ha producido vulneración del derecho a la tutela judicial efectiva sin indefensión y al proceso con todas las garantías (apartados 1 y 2 del art. 24 CE), alegando al respecto el precedente de inadmisión del recurso de amparo interpuesto por la Administración General del Estado contra la sentencia del Tribunal Supremo de 7 de febrero de 2012 (recurso contencioso-administrativo núm. 419-2010), sobre un supuesto de hecho que califica de “prácticamente idéntico”. Se refiere después a la doctrina del “acto aclarado” y la innecesaridad de plantear cuestión prejudicial ante el Tribunal de Justicia de la Unión Europea por existir dos sentencias de dicho Tribunal en supuestos materialmente idénticos al resuelto por el Tribunal Supremo y argumenta que las sentencias de contraste del Tribunal de Justicia, sobre la base de las cuales el Tribunal Supremo acuerda inaplicar una ley nacional por contravenir una Directiva europea, fueron dictadas en supuestos sustancialmente idénticos al enjuiciado por el Tribunal Supremo. La vulneración pretendida por el abogado del Estado no es tal desde el momento en que el Tribunal Supremo otorgó plazo a las partes en sede del recurso contencioso-administrativo núm. 960-2014 para que manifestasen lo pertinente al respecto de la sentencia del Tribunal de Justicia de la Unión Europea de fecha 7 de septiembre de 2016 (asunto C-121/15), caso Anode. Finalmente, expone detalladamente la metodología empleada para la financiación del bono social y defiende la identidad material de la misma y la que dio lugar al conflicto resuelto mediante la sentencia del Tribunal de Justicia de 7 de septiembre de 2016 en torno a la posibilidad de imponer obligaciones de servicio público y la protección de los colectivos vulnerables.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26 de octubre de 2018 tuvieron entrada en este Tribunal las alegaciones de Iberdrola, S.A. En primer lugar explica el contexto y los antecedentes relevantes de la controversia judicial, en particular la Directiva 2009/72/CE y las normas nacionales que regulan el bono social. Resume, después, el contenido de la sentencia impugnada y los motivos de amparo expuestos por la administración. Posteriormente, trae a colación la doctrina del Tribunal Constitucional según la cual no cabe cuestionar, con base en el art. 24.1 CE, la decisión del tribunal ordinario de no plantear la cuestión prejudicial, siempre que esa decisión sea el fruto de una exégesis racional de la legalidad ordinaria. No obstante, reconoce que existen dos matizaciones a esa doctrina, como así se señala en la STC 232/2015: cuando el tribunal nacional toma una decisión contraria a la doctrina ya establecida por la Unión Europea, lo que no concurre en el caso que nos ocupa; y en aquellos supuestos en que “dejar de aplicar una ley interna, sin plantear cuestión de inconstitucionalidad, por entender un órgano jurisdiccional que esa ley es contraria al derecho de la Unión Europea, sin plantear tampoco cuestión prejudicial ante el Tribunal de Justicia de la Unión Europea, es contrario al derecho a un proceso con todas las garantías (art. 24.2 CE) si existe una ‘duda objetiva, clara y terminante’ sobre esa supuesta contradicción (STC 58/2004, FFJJ 9 a 14)”. No obstante, tras invocar las SSTC 212/2014, de 18 de diciembre; y 99/2015, de 25 de mayo, afirma que, desde la perspectiva del mencionado art. 24.2 CE, es suficiente con que, al órgano judicial, no se le planteen dudas sobre el alcance del Derecho de la 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anterior, la codemandada lleva a cabo una exposición sobre la argumentación dada en la STC 58/2004 acerca del alcance y finalidad de la cuestión prejudicial ante el Tribunal de Justicia de la Unión Europea que, según afirma, no consiste en aclarar la aplicación al caso concreto del Derecho de la Unión Europea, sino en concretar cuál es su interpretación y alcance, para, seguidamente, afirmar que el recurso de amparo ha perdido su objeto. Tal aserto trae causa de la entrada en vigor del Real Decreto-ley 7/2016, de 23 de diciembre, que regula el mecanismo de financiación del coste del bono social y otras medidas de protección al consumidor vulnerable de energía eléctrica, norma esta que fue promulgada tras el dictado de la sentencia recurrida en amparo. Según sostiene, en la exposición de motivos de la mencionada norma se contemplan los principios que deben regir la financiación del bono social, con el mismo alcance que se fija en la sentencia dictada por el Tribunal Supremo; y ello porque la selección de las empresas comercializadoras de energía eléctrica para costear el bono social constituye una medida basada en razones objetivas, transparentes y no discriminatorias, que no quiebran el principio de proporcionalidad conforme a la doctrina establecida en esa Sentencia. Siendo así, en el presente recurso no se plantea ningún debate sustantivo sobre lo dicho por el Tribunal Supremo acerca de cuál deba ser la interpretación y aplicación del derecho de la Unión, ni sobre lo que podría haber dicho de forma distinta el Tribunal de Justicia de la Unión Europea, de haberse planteado la cuestión prejudicial. De ahí que la actual controversia sea puramente formal y en cierto sentido bizantina, pues pretende que el Tribunal Supremo plantee una cuestión prejudicial para resolver una cuestión de fondo que ya no es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Acto seguido, afirma que el recurso de amparo carece de especial trascendencia constitucional, pues la que expresamente aduce la administración recurrente no es tal. Señala que no corresponde al Tribunal Constitucional clarificar cuáles son los supuestos que han de concurrir para aplicar la doctrina del “acto claro” o del “acto aclarado”, ya que esa cuestión se anuda a la interpretación del art. 267 TFUE y de la jurisprudencia dictada en su desarrollo por el Tribunal de Justicia de la Unión Europea. Por otro lado, aunque sí corresponde al Tribunal Constitucional analizar, desde la perspectiva del art. 24 CE, la interpretación que el tribunal ordinario haga del art. 267 Tratado de funcionamiento de la Unión Europea, pone de relieve que, sobre ese aspecto, la doctrina constitucional es inequívoca y pétrea, como ha quedado expuesto. Asimismo, recuerda que, en un caso que considera idéntico, concretamente el resuelto por la STS de fecha 7 de febrero de 2012, que declaró inaplicable el sistema de financiación del bono social regulado en el Real Decreto-ley 6/2009, el Tribunal Constitucional acordó la inadmisión de la demanda de amparo interpuesta por la Abogacía del Estado, mediante providencia de 26 de septiembre de 2012, al apreciar la manifiesta inexistencia de violación de un derecho fundamental tutelable. Añade que, pese a los esfuerzos de la administración demandante por poner de relieve las diferencias entre el modelo de financiación seguido por el Real Decreto-ley 6/2009 (el coste se distribuía entre una lista de entidades cerrada e inamovible) y el establecido por el art. 45.4 LSE (sistema no definitivo ni nominal, sino contingente), lo cierto es que las diferencias que refiere la demandante no son tales, por lo que procede adoptar la misma decisión que la acordada en la providencia indicada. Además, añade que la administración carece de legitimación para recurrir, pues aunque el recurso de amparo también se encuadra formalmente en el artículo 24.2 CE, lo que realmente se invoca es un déficit de motivación que debe encontrar encaje en el artículo 24.1 CE. Y esa dimensión del derecho a la tutela judicial efectiva sin indefensión no protege a las personas jurídico-públicas cuando, como acontece en el presente, la administración actúa en el ejercicio de sus potestades jurídico-públicas.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niega que las resoluciones impugnadas hayan vulnerado el art. 24 CE. Tras detallar exhaustivamente los diferentes argumentos que ofrece la sentencia para desmontar las razones contenidas en la exposición de motivos del Real Decreto-ley 9/2013 acerca del sistema de financiación del bono social, así como las que ofrece para justificar el no planteamiento de la cuestión prejudicial ante el Tribunal de Justicia de la Unión Europea, de todo ello colige: i) que en el presente supuesto no existe una duda objetiva, clara y terminante sobre la contradicción entre el Derecho de la Unión y el Derecho Nacional, pues así lo expresa el Tribunal Supremo en su razonamiento y ii) que la decisión adoptada por ese órgano judicial es fruto de una exégesis racional de la legalidad ordinaria y no resulta ser, por tanto, manifiestamente arbitraria o injustificada. Y ello porque la referida resolución explica de manera detallada los hechos del caso y los principios y la normativa aplicable; expone la doctrina del Tribunal de Justicia de la Unión Europea que considera de aplicación en relación con los límites impuestos a las obligaciones de servicio público (asuntos Federutility y Anode) y constata que esa doctrina coincide con la interpretación del art. 3 de la Directiva 2009/72/CE, por lo que concluye con la afirmación de que el Tribunal Supremo decidió no plantear cuestión prejudicial.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apoyo de la decisión adoptada por el Tribunal Supremo, considera que, entre la obligación de financiar el déficit de tarifa y financiar el bono social, existen sustanciales diferencias, principalmente porque esta última es una obligación de servicio público. También refiere que, datos tales como la formulación de un voto particular proclive al planteamiento de la cuestión prejudicial, que el dictamen en Consejo de Estado no opusiera reparos a la compatibilidad del sistema de financiación del bono social con el Derecho de la Unión o que se excluyera la imposición de costas porque la controversia suscita suficientes dudas de Derecho para considerar improcedente la condena en costas, no engendran una “duda razonable” que determine la necesidad de plantear cuestión prejudicial.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30 de abril de 2019, se señaló para deliberación y votación de la presente sentencia el día 6 de mayo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El presente recurso de amparo tiene por objeto la sentencia dictada por la Sección Tercera de la Sala de lo Contencioso-administrativo del Tribunal Supremo el día 7 de diciembre de 2017 en el recurso de casación núm. 122-2016, así como el auto de 29 de enero de 2018, de la misma Sala y Sección, que desestimó el incidente de nulidad de actuaciones promovido por la recurrente frente a dicha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objeto del presente proceso constitucional como los planteamientos procesales y sustantivos introducidos por las partes en el debate de este recurso son sustancialmente coincidentes con los que ya han sido abordados por el Pleno del Tribunal Constitucional en nuestra reciente STC 37/2019, de 26 de marzo (recurso de amparo núm. 593-2017), a cuyos fundamentos debemos remitirnos. En consecuencia, procede desestimar la alegación de que la parte demandante (Administración General del Estado) no ha justificado la especial transcendencia constitucional del recurso [STC 37/2019, FJ 3 b)], de que carece de especial transcendencia constitucional [STC 37/2019, FJ 3, b)], así como la de que se ha producido la pérdida sobrevenida de objeto (STC 37/2019, FJ 2) y de falta de legitimación de la administración demandante [STC 37/2019, FJ 3 a)], y debemos dar por reproducidos los FFJJ 4 a 6. En ellos, tras exponer la doctrina constitucional sobre el planteamiento de la cuestión prejudicial y examinar el pronunciamiento de la Sala Tercera del Tribunal Supremo en el caso enjuiciado, consideramos vulnerado el derecho a un proceso con todas las garantías (art. 24.2 CE), debido a la ausencia de los presupuestos necesarios para apreciar que concurriera “acto aclarado” que exima de la obligación de plantear cuestión prejudicial.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procede estimar el recurso de amparo por vulneración del derecho a un proceso con todas las garantías (art. 24.2 CE) y declarar la nulidad de la sentencia y del auto objeto de impugnación, con retroacción de actuaciones al momento anterior al de dictarse la primera de las resoluciones citadas, a fin de que la Sala de lo Contencioso-Administrativo del Tribunal Supremo dicte otra resolución respetuosa con el derecho fundamental conculcado.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otorgar el amparo solicitado por la Administración General del Estado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el derecho a un proceso público con todas las garantías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la integridad de su derecho y, a tal fin, anular la sentencia de la Sección Tercera de la Sala de lo Contencioso-Administrativo del Tribunal Supremo de 7 de diciembre de 2017, recaída en el recurso de casación núm. 122-2016, y el auto de 29 de enero de 2018, de la misma Sala y Sección, por el que se desestimó el incidente de nulidad de actuaciones promovido frente a la referida sentencia.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de la sentencia, para que el indicado órgano judicial dicte nueva resolución que sea respetuosa con el derecho fundamental vulnerado, en los términos expresados en el fundamento jurídico quinto de esta resolución.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mayo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