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64-2018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marzo de 2019, la entidad Euroinversiones Inmobiliarias Costa Sur, S.L., representada por la procuradora de los tribunales doña Blanca Berriatua Horta y bajo la dirección del letrado don Marcelino Gilabert García , interpuso recurso de amparo contra los autos dictados por el Juzgado de Primera Instancia e Instrucción núm. 6 de Lorca en el procedimiento de ejecución hipotecaria núm. 64-2018 en fechas 19 de septiembre de 2018 y 22 de enero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64-2018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20 de junio de 2018 se acordó despachar ejecución frente a las sociedades demandadas. El citado auto y el decreto de la misma fecha fueron comunicados a las citadas entidades a través de la sede judicial electrónica el día 21 de junio de 2018. El mismo día, el servicio de notificaciones electrónicas de la Fábrica Nacional de Moneda y Timbre remitió a la demandante de amparo, a través de la dirección electrónica habilitada, una notificación del siguiente tenor: “[l]a Notificación estará disponible en su Dirección Electrónica Habilitada única desde el 21 de junio de 2018 hasta el 6 de agosto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presentó escrito de oposición a la ejecución despachada, en fecha 27 de agosto de 2018. Por auto 19 de septiembre de 2018 se acordó su inadmisión por presentación extemporánea, al considerarse que había transcurrido el plazo de diez días previsto en 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21 de junio de 2018, sino el 27 de julio de 2018, y que la comunicación remitida a través de la dirección electrónica habilitada no puede entenderse más que como un aviso de puesta a disposición o descarga de su contenido durante un plazo determinado (en el caso desde el 21 de junio al 27 de julio de 2018). De ahí que, al haber accedido a dicha comunicación el día 27 de julio de 2018, es en ese día cuando debe entenderse efectuada la notificación. Y entenderlo de otro modo, además de infringir los arts. 135, 152, 160, 162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22 de enero de 2019. Según consta en la indicada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a) de la Ley 39/2015 y 273.3 LEC. Según se afirma en la indicada resolución “en el presente caso, consta que la notificación se puso a disposición de las recurrentes en fecha 21 de junio de 2018 no accediendo al contenido hasta el 27 de julio de 2018 (fuera de los tres días que establece la normativa procesal), presentando los escritos de oposición a la ejecución en fecha 27 de agosto de 2018, claramente fuera del plazo legalmente establecido en el art. 556.1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Aduce que siguió la literalidad de las instrucciones contenidas en un correo electrónico que recibió procedente del servicio de notificaciones electrónicas y accedió al contenido de la notificación dentro del plazo establecido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afirma que el órgano judicial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octubre de 2019, la Sección Tercera de este tribunal acordó admitir a trámite el recurso de amparo y dirigir comunicación al el Juzgado de Primera Instancia e Instrucción núm. 6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8 de noviembre de 2019, la parte demandante formuló sus alegaciones, en el cual reitera lo interesado en el otrosí de su demanda, con sustento en el ATC 287/2013, de 16 de diciembre, cuyo contenido parcialmente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el 12 de noviembre del 2019. En síntesis, interesa que se acuerde la anotación preventiva de la demanda en el registro de la propiedad. Tras compendiar la doctrina constitucional relativa a la suspensión prevista en el art. 56 LOTC, sostiene que la solicitud de la medida de suspensión solo alude a la pérdida de finalidad del recurso, para el caso de que llegara a celebrarse la subasta, pero no ofrece ninguna razón que justifique esa pérdida de finalidad a que alude. Además, considera más eficaz la anotación preventiva de la demanda en el registro de la propiedad, medida mediante la cual se daría publicidad a terceros de la pendencia del recurso y se evitaría que un hipotético tercer adquirente del inmueble hipotecado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64-2018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pues la medida idónea es la anotación preventiva de la demanda en el registro de la propiedad.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en la fase inicial una vez rechazada la oposición a la ejecución y que el inmueble sobre el que se sigue tal ejecución está constituido por una vivienda cuya situación posesoria no consta.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217/2012, de 26 de noviembre, FJ 2;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64-2018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