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610-2014 seguido en el Juzgado de Primera instancia núm. 2 de Almería.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julio de 2019, el procurador de los Tribunales don Pedro Emilio Serradilla Serrano, en nombre y representación de don Alfonso Mesa Puga, doña Juana Francisca López de Águila y don Juan Mesa López, y bajo la dirección del letrado don Iván García Navarro, interpuso recurso de amparo contra la providencia del Juzgado de Primera Instancia núm. 2 de Almería de 12 de abril de 2019, por el que se inadmite el incidente de nulidad actuaciones interpuesto contra la providencia de 17 de mayo de 2019 pronunciada en el procedimiento de ejecución hipotecaria núm. 610-2014.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la suspensión del procedimiento de ejecución y la anotación preventiva de la demanda de amparo en evitación de su pérdida de finalidad si llegara a subastarse el bien inmueble objeto de la hipoteca y su adjudicación a terceros de buena 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15 de junio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 los recurrentes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7 de julio de 2020, presentó alegaciones interesando que se deniegue la suspensión del procedimiento de ejecución, ya que tiene contenido patrimonial y no se ha desarrollado ningún esfuerzo argumental dirigido a exponer la perdida de finalidad del amparo y los perjuicios irreparables a irrogar. Por el contrario, considera procedente la medida de la anotación preventiva de la demanda en protección frente a eventuales terceros adquirentes de buena fe que hicieran irreivindicable el bien inmueble.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no formularon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El art. 56.2 LOTC concreta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y debe entenderse por tal aquel que provoque que el restablecimiento del recurrente en los derechos fundamentales cuya vulneración denuncia sea tardío e impida definitivamente que la restauración sea efectiva; (ii)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y (iii) en lo que se refiere a la ejecución de los pronunciamientos con efectos fundamentalmente patrimoniales o de contenido económico, el Tribunal ha consagrado que, con carácter general, ni causan un perjuicio irreparable al obligado al pago, ni pueden hacer perder al amparo su finalidad, al ser posible la restitución íntegra de lo ejecutado. De ese modo, solo se ha accedido a la suspensión en supuestos excepcionales en los que la ejecución de las resoluciones recurridas en amparo acarrearía perjuicios económicos muy difícilmente reparables por su entidad o por la irreversibilidad de las situaciones jurídicas que puedan producirse (así, por ejemplo, ATC 194/2016, de 28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la suspensión que se solicita es de exclusivo carácter económico, ya que se refiere a un procedimiento de ejecución hipotecaria. Por otra parte, los recurrentes no han desarrollado ningún esfuerzo argumental dirigido a fundamentar el perjuicio irreparable que esta ejecución les podría suponer, por lo que no se ha puesto de manifiesto, como es carga procesal que les corresponde, la concurrencia de circunstancias excepcionales vinculadas a la irreparabilidad de los perjuicios económicos que se pudieran irrogar con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la medida cautelar de anotación preventiva de la demanda de amparo en el registro de la propiedad, al ser una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2/2019, de 9 de enero, FJ 4, y 85/2019, de 15 de julio, a propósito de otros procedimientos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el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decisión queda limitada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se deniega la suspensión solicitada, pero se acuerda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610-2014 seguido en el Juzgado de Primera instancia núm. 2 de Almería.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