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Rectificar el error material constatado en la sentencia de 16 de noviembre de 2020, en cuanto a la identificación del abogado del demandante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En el encabezamiento y en el antecedente primero, donde dice “Lucena”, debe decir “Ugena”.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servicio de correos el 1 de marzo de 2019 y dirigido a este tribunal, donde fue registrado el 4 de marzo siguiente, don Esteban Salas Vargas ponía de manifiesto su voluntad de interponer recurso de amparo frente a la providencia de 1 de febrero de 2019 dictada por el Juzgado de Primera Instancia e Instrucción núm.1 de Alcalá de Guadaira en el procedimiento de divorcio contencioso núm. 859-2015, solicitando la suspensión del plazo para interponer recurso de amparo hasta que se le designara abogado y procurador del turno de oficio. Efectuado el nombramiento, por escrito registrado en este tribunal el día 10 de junio de 2019, el demandante, representado por la procuradora de los tribunales doña María Isabel García Martínez y asistido por el letrado don Luis Emilio Ugena Yustos, interpuso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encabezamiento y en el primer antecedente de la sentencia de 16 de noviembre de 2020, por el que se declara vulnerado el derecho del demandante de amparo a la tutela judicial efectiva sin indefensión fue identificado como letrado del recurrente de amparo “don Luis Emilio Lucena Yustos”.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27 de noviembre de 2020, la representación del demandante de amparo ha solicitado que se rectifique el primer apellido del letrado director, a fin de que conste correctamente “Ugena” y no “Lucena”.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sus sentencias, precepto que ha de entenderse extendido al resto de resoluciones que este Tribunal Constitucional tiene competencia para dictar. Esta actuación judicial, de acuerdo con el art. 267.1 de la Ley Orgánica del Poder Judicial, deberá limitarse a “aclarar algún concepto oscuro y rectificar cualquier error material de que adolezcan”, pero no podrá suponer, sin embargo, variación o modificación de la resolución judicial (entre otros, AATC 439/2006, de 11 de diciembre, 363/2007, de 11 de septiembre, 70/2008, de 26 de febrero, 32/2010, de 2 de marzo, 134/2013, de 3 de junio, 160/2014 de 9 de junio, 77/2015, de 7 de mayo y 198/2015, de 30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solicita la rectificación de un error material contenido en la sentencia de 16 de noviembre de 2020, en relación con el primer apellido del abogado del recurrente, a fin de que se haga constar correctamente el mismo como “Ugena”, pues por error se había trascrito en la sentencia “Lucena”.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Constando y siendo notorio el error material advertido, procede la rectificación solicitada. Por ello, en el encabezamiento y en el primer antecedente de la sentencia debe sustituirse el apellido de “Lucena”, haciéndose constar “Ugena”.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Rectificar el error material constatado en la sentencia de 16 de noviembre de 2020, en cuanto a la identificación del abogado del demandante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En el encabezamiento y en el antecedente primero, donde dice “Lucena”, debe decir “Ugena”.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