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3805/98 promovido por don Julián Sancristóbal Iguaran, representado por el Procurador de los Tribunales don Jesús Álvaro Stampa Casas y asistido por el Abogado don José María Stampa, contra la Sentencia 2/1998 de 27 de julio, del Pleno de la Sala Segunda del Tribunal Supremo, aclarada por Auto de 8 de septiembre de 1998. Han intervenido el Ministerio Fiscal; el Abogado del Estado; don Rafael Vera Fernández-Huidobro, representado por el Procurador don Tomás Alonso Ballesteros, y los Letrados don Manuel Cobo del Rosal y don Felipe González Márquez;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don Julio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14 de agosto de 1998, el Procurador de los Tribunales don Jesús Álvaro Stampa Casas, en nombre y representación de don Julián Sancristóbal Iguaran, interpuso recurso de amparo contra la Sentencia 2/1998 de 27 de julio del Pleno de la Sala de lo Penal del Tribunal Supremo, dictada en la causa especial núm. 2530/95, aclarada por Auto de 8 de septiembre de 1998, que le condenó como autor de los delitos de secuestro (art. 164 en relación con el art. 167 CP 1995) y de malversación de caudales públicos en grado de cooperador necesario (art. 432.1 CP 1995), en concurso medial y sin circunstancias modificativas de la responsabilidad penal, a las penas de diez años de prisión y doce años de inhabilitación absoluta. El recurrente alega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tanto en relación con la aplicación de las reglas de la prescripción como debido a la no acomodación de la pena a sus circunstancias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fue realizada por error, al pretender secuestrar a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también condenados en la misma causa, y que en el momento de los hechos eran, respectivamente, Director General de la Seguridad del Estado y Ministro del Interior.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de Policía, y también condenados en la misma causa, declararon rectificando sus declaraciones anteriores, autoinculpándose por el secuestro de don Segundo Marey Samper e implicando en el mismo al demandante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del previsible fallo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tanto en relación con la aplicación de las reglas de la prescripción como debido a la no acomodación de la pena a sus circunstancias personales: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 identificado al recurrente ni había adquirido la condición de sujeto pasivo del proceso, por lo que no podía ejercer su derecho de defensa, ni podía considerarse que el procedimiento se había dirigido contra él a los efectos de entender interrumpido el plazo de prescripción del delito que se les imputaba, pues hasta diciembre de 1994 el recurrente no adquirió la condición de sujeto pasivo del proceso, cuando habían pasado más de once años desde los hechos. La fundamentación de la Sentencia del Tribunal Supremo estimando la interrupción de la prescripción se sustentaría en una interpretación del art. 113 CP 1973 contraria a la línea jurisprudencial sostenida desde los años noventa por la Sala Segunda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El recurrente entiende,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 </w:t>
      </w:r>
    </w:p>
    <w:p w:rsidRPr="00C21FFE" w:rsidR="00F31FAF" w:rsidRDefault="00356547">
      <w:pPr>
        <w:rPr/>
      </w:pPr>
      <w:r w:rsidRPr="&lt;w:rPr xmlns:w=&quot;http://schemas.openxmlformats.org/wordprocessingml/2006/main&quot;&gt;&lt;w:lang w:val=&quot;es-ES_tradnl&quot; /&gt;&lt;/w:rPr&gt;">
        <w:rPr/>
        <w:t xml:space="preserve">De otra parte se sostiene también que la consideración de la pena impuesta como compuesta a los efectos de fijar el plazo de prescripción en quince años es irrazonable y constituye una interpretación analógica contraria al reo. </w:t>
      </w:r>
    </w:p>
    <w:p w:rsidRPr="00C21FFE" w:rsidR="00F31FAF" w:rsidRDefault="00356547">
      <w:pPr>
        <w:rPr/>
      </w:pPr>
      <w:r w:rsidRPr="&lt;w:rPr xmlns:w=&quot;http://schemas.openxmlformats.org/wordprocessingml/2006/main&quot;&gt;&lt;w:lang w:val=&quot;es-ES_tradnl&quot; /&gt;&lt;/w:rPr&gt;">
        <w:rPr/>
        <w:t xml:space="preserve">d) Se aduce una nueva lesión del derecho a la legalidad penal al no haberse operado la individualización de la pena, pues al recurrente se le impuso la misma pena que a los Sres. Barrionuevo y Vera cuando su intervención en el proceso fue distinta, pues el recurrente colaboró con la justicia, y dicha colaboración debería haber producido, al menos, una atenuación de la pena, de conformidad con la legislación penal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1998, la Sala Segunda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del recurrente de amparo, para que, en el plazo de diez días, pudieran comparecer en este proceso constitucional, si lo estimaren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se acordó la apertura de la pieza separada de suspensión, en la que, tras efectuarse las alegaciones de las partes, se dictó por la Sala Segunda el Auto de 26 de noviembre de 1998 que denegó la suspensión de la ejecución de la Sentencia solicitada. La representación procesal de don Julián Sancristóbal interpuso recurso contra dicho Auto, que fue desestimado en Auto de la Sala Segunda de 16 de diciembre de 1998. En escrito registrado en este Tribunal el 24 de diciembre, volvió a instar la suspensión de la resolución judicial al serle concedido un indulto parcial por acuerdo del Consejo de Ministros de 23 de diciembre de 1998. Tras la apertura de un nuevo trámite de alegaciones, la Sala Segunda dictó el Auto de 29 de diciembre de 1998 acordando la suspensión de la resolución judicial respecto de la pena privativa de libertad impuesta y manteniendo el resto de los pronunciamientos del Auto de 26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 quienes habían sido parte en la causa 2530/95 se personaron en el presente procedimiento de amparo: el Abogado del Estado por escrito registrado en este Tribunal el 19 de noviembre;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la acusación particular que encabeza don Miguel Lasa Aróstegui, en escrito registrado en este Tribunal el 2 de diciembre de 1998; la representación procesal de la acusación popular que encabeza don José Alberto Cruz Bravo en escrito registrado en este Tribunal el 30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en providencia de 14 de enero de 1999, acordó tener por recibidos los escritos reseñados en el número anterior y tener por personados al Abogado del Estado y a los Procuradores que figuran en los mismos en nombre y representación de don Segundo Marey Samper y don Rafael Vera Fernández-Huidobro.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en escritura original de poder notarial, y respecto e los cinco últimos, deberán acreditar, en el mismo plazo, su condición de parte en el proceso judicial antecedente, al no figurar en el folio sexto de la Sentencia del Tribunal Supremo. Igualmente, se tuvo por personada a la Sra. Rodríguez Pérez en nombre de don José Alberto Cruz Bravo y otros, debiendo presentar, en el plazo de diez días,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debido a su volumen, se les pondrían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26 de enero de 1999, la representación procesal de don Julián Sancristóbal en su nombre dio por reproducido íntegramente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28 de enero de 1999, la representación procesal de don Segundo Marey Samper, en su nombre,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29 de enero de 1999, la representación procesal de don Miguel Lasa, don Antonio Asteasuinzarra, don José Luis Echaide, doña María Begoña Arbelaiz y don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febrero de 1999, la Sala Segunda acordó tener por decaída a la Procuradora Sra. Rodríguez Pérez, en su derecho a personarse en nombre de don José Alberto Cruz Bravo y otras personas al no haber dado cumplimiento al requerimiento hecho en providencia de 14 de enero y al Procurador Sr. Dorremochea en su derecho a personarse en nombre y representación de los que no constan como parte en el folio sexto de la Sentencia del Tribunal Supremo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25 de febrero, la representación procesal de don Segundo Marey Samper manifestó que solicitado a éste poder especial para desistir le envió carta manuscrita en la que ratifica su voluntad de apartarse del presente procedimiento de amparo. En providencia de 8 de marzo de 1999, la Sala Segunda de este Tribunal acordó tener por decaído a don Segundo Marey Samper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8 de febrero de 1999, cumplimentando el trámite de alegaciones el Abogado del Estado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pretensión de lesión del derecho al doble grado de jurisdicción en materia penal, sostiene que, si bien este Tribunal ha tenido ya ocasión de pronunciarse sobre la constitucionalidad de las consecuencias procesales del régimen especial de competencia funcional para Diputados y Senadores previsto en el art. 71.3 CE, ha de tenerse en cuenta que no existen precedentes directos del caso examinado, pues en el recurso de amparo objeto de consideración la vulneración se alega por personas no aforadas. A pesar de ello, fundamenta el Abogado del Estado la desestimación de la pretensión en tres órdenes de razones: </w:t>
      </w:r>
    </w:p>
    <w:p w:rsidRPr="00C21FFE" w:rsidR="00F31FAF" w:rsidRDefault="00356547">
      <w:pPr>
        <w:rPr/>
      </w:pPr>
      <w:r w:rsidRPr="&lt;w:rPr xmlns:w=&quot;http://schemas.openxmlformats.org/wordprocessingml/2006/main&quot;&gt;&lt;w:lang w:val=&quot;es-ES_tradnl&quot; /&gt;&lt;/w:rPr&gt;">
        <w:rPr/>
        <w:t xml:space="preserve">En primer término, aduce la propia jurisprudencia constitucional sobre el derecho a la doble instancia penal. En este marco, afirma de un parte que, a pesar de que hay que considerar incorporado a nuestro Derecho interno dicho derecho, ello no es bastante para crear por sí mismo recursos inexistentes (STC 42/1982), y, de otra, que es el hecho de haber tenido acceso a un fuero privilegiado y haber sido juzgado por el más alto Tribunal de la nación lo que impide la revisión de la Sentencia (STC 51/1985). De otra parte, con cita de la STC 41/1998 sostiene que hay determinados supuestos en los que la garantía que implica la posibilidad de sometimiento del fallo condenatorio a un Tribunal superior se satisface sin necesidad de que exista un recurso autónomo. Éste sería el caso en los supuestos en que la condena es pronunciada en primera y única instancia por el Tribunal Supremo. Dicha conclusión vendría avalada por lo dispuesto en el párrafo 2 del art. 2 del Protocolo núm. 7 al Convenio Europeo de Derechos Humanos, en el sentido de que este derecho podrá ser objeto de excepciones "cuando el interesado haya sido juzgado en primera instancia por el más alto Tribunal", pues, aunque no haya sido ratificado por España, puede servir de pauta interpretativa sobre la cuestión. </w:t>
      </w:r>
    </w:p>
    <w:p w:rsidRPr="00C21FFE" w:rsidR="00F31FAF" w:rsidRDefault="00356547">
      <w:pPr>
        <w:rPr/>
      </w:pPr>
      <w:r w:rsidRPr="&lt;w:rPr xmlns:w=&quot;http://schemas.openxmlformats.org/wordprocessingml/2006/main&quot;&gt;&lt;w:lang w:val=&quot;es-ES_tradnl&quot; /&gt;&lt;/w:rPr&gt;">
        <w:rPr/>
        <w:t xml:space="preserve">A todo ello añade, en segundo término, que ha de tenerse en cuenta que el fuero de los Diputados y Senadores se conecta con las prerrogativas parlamentarias que son imprescriptibles e irrenunciables, por cuanto se trata de garantías jurídicamente vinculadas a la satisfacción de un interés institucional y permanente del Ordenamiento (SSTC 51/1985 y 92/1985). De manera que siendo aforado uno de los acusados, era competente el Tribunal Supremo para el enjuiciamiento de los hechos. La única infracción constitucional posible sería la del derecho al Juez ordinario predeterminado por la ley en caso de que el enjuiciamiento de los hechos imputados al recurrente, no aforado, carecieran de conexión con los imputados al aforado. Sin embargo, tampoco considera que se haya producido dicha lesión, pues el Tribunal Supremo realizó una interpretación muy estricta del criterio de la conexión de los hechos enjuiciados respecto de los encausados, coherente con el carácter excepcional de la competencia del Tribunal Supremo, sin acoger, en consecuencia, el criterio amplio que implicaría entender conectados todos los hechos realizados por o atribuidos al colectivo. Por ello, en la medida en que el Diputado Sr. Barrionuevo solo aparecía implicado en la causa respecto del secuestro de Segundo Marey Samper, la pertenencia a banda armada y la malversación de caudales públicos en su financiación, el Tribunal Supremo excluyó del enjuiciamiento aquellos hechos que carecían de conexión con éstos. El Abogado del Estado, tras reproducir literalmente los argumentos del Auto del Tribunal Supremo de 24 de septiembre de 1997, dictado en aplicación del Auto de apertura del juicio oral que delimitó la causa, concluye que no se habría producido ninguna vulneración dado que la interpretación del Tribunal Supremo habría sido proporcionada y coherente con la naturaleza del aforamiento. </w:t>
      </w:r>
    </w:p>
    <w:p w:rsidRPr="00C21FFE" w:rsidR="00F31FAF" w:rsidRDefault="00356547">
      <w:pPr>
        <w:rPr/>
      </w:pPr>
      <w:r w:rsidRPr="&lt;w:rPr xmlns:w=&quot;http://schemas.openxmlformats.org/wordprocessingml/2006/main&quot;&gt;&lt;w:lang w:val=&quot;es-ES_tradnl&quot; /&gt;&lt;/w:rPr&gt;">
        <w:rPr/>
        <w:t xml:space="preserve">b) Respecto de la alegación de lesión del derecho a un juez imparcial sostiene que, sin perjuicio de que no se acredita la filtración denunciada, ni consta que ninguna resolución se haya dictado sobre su existencia, no existe la mínima relación entre este hecho y el derecho al proceso debido. De otra parte, se entiende que carece del más mínimo fundamento probatorio afirmar que la filtración hubiera influido en el órgano judicial provocando un cambio de criterio de algo inicialmente acordado, como consecuencia de la difusión de las deliberaciones de la Sala del Tribunal Supremo. Finalmente, afirma que es de todo punto inaceptable e "incluso temerario", sostener que el debate social y político que la filtración pudo producir haya originado la mínima merma en la independencia e imparcialidad del Tribunal Supremo. </w:t>
      </w:r>
    </w:p>
    <w:p w:rsidRPr="00C21FFE" w:rsidR="00F31FAF" w:rsidRDefault="00356547">
      <w:pPr>
        <w:rPr/>
      </w:pPr>
      <w:r w:rsidRPr="&lt;w:rPr xmlns:w=&quot;http://schemas.openxmlformats.org/wordprocessingml/2006/main&quot;&gt;&lt;w:lang w:val=&quot;es-ES_tradnl&quot; /&gt;&lt;/w:rPr&gt;">
        <w:rPr/>
        <w:t xml:space="preserve">c) En relación con la posible vulneración del derecho a la legalidad penal, el Abogado del Estado, tras negar relevancia a la cuestión en el seno del art. 9.3 CE, dado que no contiene un derecho amparable, sostiene que, de conformidad con la jurisprudencia de este Tribunal, apreciar o rechazar la prescripción del delito es cuestión de mera legalidad que sólo adquiere relevancia constitucional en casos de error patente o aplicación arbitraria. De otra parte, con cita de la doctrina constitucional sobre la posible vulneración del derecho a la legalidad sancionadora cuando la subsunción de hechos es ajena a todo significado posible de la norma aplicada o cuando la interpretación de ésta resulta irrazonable y contraria a su orientación material, o a las pautas axiológicas que derivan de la Constitución o que se aceptan en la comunidad jurídica, se razona a partir de este canon sobre la conformidad al mismo de la interpretación realizada por el Tribunal Supremo sobre las normas relativas a la prescripción. Así, en general se entiende que el Tribunal Supremo ha efectuado una de las posibles interpretaciones tanto legal como constitucionalmente, sin rebasar los límites que la sujeción a la ley y la seguridad jurídica imponen, de modo que el recurrente sólo expresarían en este punto su disenso respecto de la interpretación realizada. </w:t>
      </w:r>
    </w:p>
    <w:p w:rsidRPr="00C21FFE" w:rsidR="00F31FAF" w:rsidRDefault="00356547">
      <w:pPr>
        <w:rPr/>
      </w:pPr>
      <w:r w:rsidRPr="&lt;w:rPr xmlns:w=&quot;http://schemas.openxmlformats.org/wordprocessingml/2006/main&quot;&gt;&lt;w:lang w:val=&quot;es-ES_tradnl&quot; /&gt;&lt;/w:rPr&gt;">
        <w:rPr/>
        <w:t xml:space="preserve">En particular, se sostiene, en primer término, que son irrelevantes las quejas por cuanto al habérsele condenado por dos delitos en concurso medial parece claro que el plazo de prescripción es de quince años, de modo que éste no habría transcurrido en el momento en que el mismo considera que ha de considerarse interrumpida la prescripción, en 1995. </w:t>
      </w:r>
    </w:p>
    <w:p w:rsidRPr="00C21FFE" w:rsidR="00F31FAF" w:rsidRDefault="00356547">
      <w:pPr>
        <w:rPr/>
      </w:pPr>
      <w:r w:rsidRPr="&lt;w:rPr xmlns:w=&quot;http://schemas.openxmlformats.org/wordprocessingml/2006/main&quot;&gt;&lt;w:lang w:val=&quot;es-ES_tradnl&quot; /&gt;&lt;/w:rPr&gt;">
        <w:rPr/>
        <w:t xml:space="preserve">En segundo lugar, se afirma que ni se aparta del tenor literal ni resulta irrazonable entender que también constituye una pena compuesta la que se integra por dos grados penas de la misma naturaleza, y, que, en todo caso, no corresponde a este Tribunal interpretar cuál es el sentido de las expresiones "cuando la ley señalare al delito la pena de reclusión menor" y "pena compuesta" en el art. 113 CP 1995. </w:t>
      </w:r>
    </w:p>
    <w:p w:rsidRPr="00C21FFE" w:rsidR="00F31FAF" w:rsidRDefault="00356547">
      <w:pPr>
        <w:rPr/>
      </w:pPr>
      <w:r w:rsidRPr="&lt;w:rPr xmlns:w=&quot;http://schemas.openxmlformats.org/wordprocessingml/2006/main&quot;&gt;&lt;w:lang w:val=&quot;es-ES_tradnl&quot; /&gt;&lt;/w:rPr&gt;">
        <w:rPr/>
        <w:t xml:space="preserve">En tercer lugar, respecto de la apreciación de la interrupción de la prescripción en el momento de la interposición de la querella de la acusación popular en 1985, se afirma que, si bien se trata de una interpretación novedosa, no rebasa los límites de lo constitucionalmente admisible, pues se mantiene fiel al texto de la norma, y resulta razonable entender que los delitos cometidos por una colectividad la prescripción se produzca para todos al mismo tiempo, pues elimina "odiosas desigualdades" en la aplicación de la ley y "favorece el castigo de los máximos responsables". Tampoco esta doctrina implicaría negación de los principios de culpabilidad y responsabilidad criminal, por cuanto cuando se habla de colectividad se pretende denotar un conjunto de personas individuales. </w:t>
      </w:r>
    </w:p>
    <w:p w:rsidRPr="00C21FFE" w:rsidR="00F31FAF" w:rsidRDefault="00356547">
      <w:pPr>
        <w:rPr/>
      </w:pPr>
      <w:r w:rsidRPr="&lt;w:rPr xmlns:w=&quot;http://schemas.openxmlformats.org/wordprocessingml/2006/main&quot;&gt;&lt;w:lang w:val=&quot;es-ES_tradnl&quot; /&gt;&lt;/w:rPr&gt;">
        <w:rPr/>
        <w:t xml:space="preserve">Por último, descarta el Abogado del Estado que se haya incurrido en irrazonabilidad al diferenciar los momentos en que se entiende dirigida la acción contra el culpable a efectos de prescripción y a efectos de poder ejercer el derecho de defensa en el proceso, pues no es constitucionalmente exigible que se emplee el mismo criterio en ambos casos. Además, si interrumpida la prescripción el sospechoso no ejerce su derecho de defensa, se debe únicamente a su interés en permanecer oculto negando su participación en los hechos. </w:t>
      </w:r>
    </w:p>
    <w:p w:rsidRPr="00C21FFE" w:rsidR="00F31FAF" w:rsidRDefault="00356547">
      <w:pPr>
        <w:rPr/>
      </w:pPr>
      <w:r w:rsidRPr="&lt;w:rPr xmlns:w=&quot;http://schemas.openxmlformats.org/wordprocessingml/2006/main&quot;&gt;&lt;w:lang w:val=&quot;es-ES_tradnl&quot; /&gt;&lt;/w:rPr&gt;">
        <w:rPr/>
        <w:t xml:space="preserve">d) En relación con la vulneración del derecho a la legalidad penal que el recurrente atribuye a la pena impuesta, sin tener en cuenta su colaboración con la justicia, sostiene el Abogado del Estado, en primer término, que se trata, en principio, de una cuestión de legalidad ordinaria que sólo adquiere relevancia constitucional si se hubiera realizado una interpretación arbitraria o irrazonable. En segundo término, se afirma que el recurrente no solicitó en el procedimiento penal previo la aplicación de ninguna atenuante, de modo que si no fue expresamente solicitada no puede imputarse a la Sentencia ninguna vulneración de derecho fundamental alguno. En tercer lugar, señala el Abogado del Estado que en distintos fundamentos de la Sentencia constan elementos sobre la gravedad de la responsabilidad del Sr. Sancristóbal; así, ser responsable político de los acusados, haber asumido el plan de sus subordinados y proponérselo a los Sres. Barrionuevo y Vera, así como obtener de ellos autorización y financiación. Por último, afirma que existen dudas de que el Sr. Sancristóbal haya colaborado con la justicia, ya que, de un lado, estuvo negando los hechos hasta julio de 1995, después de su procesamiento, y, de otro, modificó en el juicio oral sus declaraciones hechas en aquella fecha, negando su intervención en la realización o difusión del comunicado remitido a la Cruz Roja.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razonada razonablemente sin aparentes contradicciones, de modo que satisface el derecho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12 de febrero de 1999,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15 de abril de 1999, don Jesús Iglesias Pérez, Procurador de los Tribunales solicitó que se diera por personado en la presente causa en nombre del recurrente y en sustitución de don Jesús Álvaro Stampa Casas, por haber causado baja en el ejercicio de la profesión. Por diligencia de ordenación del Secretario de Justicia de la Sala Segunda se le tuvo por personado, con la condición de que acreditara su representación mediante escritura de poder original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3827/98, 3835/98,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3805/98 interpuesto por el señor Sancristóbal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al recurrente como autor de los delitos de secuestro (art.  164 en relación con el art. 167 CP 1995) y de malversación de caudales públicos en grado de cooperador necesario (art. 432.1 CP 1995), en concurso medial y sin circunstancias modificativas de la responsabilidad penal, a las penas de diez años de prisión y doce años de inhabilitación absoluta. El recurrente alega la vulneración del derecho al doble grado de jurisdicción en materia penal, dado que el conocimiento de la causa por el Tribunal Supremo le impidió someter a revisión el fallo condenatorio y la condena; aduce,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tanto en relación con la aplicación de las reglas de la prescripción como debido a la falta de adaptación del quantum de pena a las circunstancias personales del recurrente. A todas las pretensiones se oponen el Abogado del Estado,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del actor,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de lo Penal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De lo anterior se desprende que, con fundamento en la vulneración del art.  24.2 CE, la demanda de amparo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un Juez pueda ser apartado del conocimiento concreto de un asunto, en garantía de la imparcialidad,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aquéllos,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les posibilita expresar libremente sus opiniones o valoraciones sobre los hechos 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caso Buscerni), en el presente caso,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efecto, hemos declarado que, "en palabras muy ilustrativas de la Sentencia del TEDH de 10 de junio de 1996, dictada en el caso Pullar (párrafo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el recurrente en su demanda que la condena impugnada ha vulnerado el art. 25.1 CE, en cuanto proclama el derecho a la legalidad de las infracciones y sanciones, al no haber declarado extinguida por prescripción la responsabilidad criminal que se le imputaba, constitutiva, según se ha declarado, de un delito de malversación de caudales públicos en concurso medial con otro de detención ilegal sometida a condición, pese a "haberse cumplido con creces" el plazo establecido en la ley. La Sala de lo Penal del Tribunal Supremo consideró que el delito imputado no había prescrito conforme a las previsiones del CP 1973 ni tampoco conforme a las del CP 1995 pues, acaecidos los hechos delictivos en diciembre de 1983, el plazo de prescripción del delito (de quince años), conforme a los arts. 113, 114 y 481.1 CP 1973, se vio interrumpido por la presentación y admisión a trámite, en marzo y abril de 1988 (poco más de cuatro años después), de una querella criminal por los hechos enjuiciados que se dirigió expresamente contra dos de los coacusados (Sres. Amedo y Domínguez) y también contra "cualesquiera otras personas que en el curso de la investigación aparecieran como partícipes en las actividades de la organización terrorista denominada Grupos Antiterroristas de Liberación (GAL)". Considera el recurrente arbitrario afirmar que la prescripción de los delitos por los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de lo Penal del Tribunal Supremo, sino que se basa en una distinción entre "delitos ordinarios" y "delitos cometidos por una colectividad" que carece de todo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Se aduce también en la demanda la lesión del art. 25.1 CE, al considerar que incurrió la Sala sentenciadora en una interpretación extensiva y analógica del art. 113 CP 1973 cuando consideró que al delito definido en el art. 481.1 CP 1973 (cuya pena señalada viene integrada por el grado máximo de la de prisión mayor y los grados mínimo y medio de la reclusión menor, es decir, abarca un período de diez años y un día hasta diecisiete años y cuatro meses), le correspondía el mismo plazo de prescripción -quince años- que a aquellos otros a los que la Ley señala la pena de reclusión menor. El análisis de ambas quejas que, con cita del art.  25.1 de la Constitución, denuncian su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a) 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el recurrente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sino que, por el contrario, es acorde con los fines de la institución, como denuncia el recurrente.</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La desestimación de la anterior queja, por la que se impugnaba la decisión judicial de dar por interrumpida la prescripción en el año 1988, priva de relevancia material a la última de las formuladas por la que se denunciaba la indebida determinación del plazo de prescripción del delito imputado por la asignación de un plazo distinto al previsto por la ley. En efecto, aun en el supuesto propuesto por el demandante, el término de prescripción no habría sido alcanzado antes de que el procedimiento se dirigiera en su contra, lo que permite afirmar que la privación de libertad cuestionada se hizo en fundada aplicación de las normas penales atinentes al caso, y por ello, en uno de los supuestos previstos por la ley, y nos exonera de continuar el análisis, al tiempo que justifica la desestimación de las pretensiones de amparo a ella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Utilizando una argumentación no exenta de confusión, considera el recurrente que la resolución condenatoria que impugna habría lesionado el derecho a la legalidad penal (art.  25.1 CE) al imponerle la misma pena que a los recurrentes Sres. Barrionuevo y Vera, a pesar de su distinta actitud a lo largo del proceso. En su opinión, la postura desarrollada por él durante el desarrollo de las actuaciones procesales, de autoinculpación e incriminación de otros responsables, habría debido de ser "premiada" por el Tribunal mediante la imposición de una pena menor que a los otros responsables políticos del secuestro. Aunque la cobertura argumental de la queja arranca de la falta de individualización de la pena, la lectura de las alegaciones permite concluir que lo que realmente funda la misma es la cuantía de la condena impuesta al demandante en comparación con la de los Sres.  Barrionuevo y Vera para concluir que la suya debería haber sido inferior.  Aduce para ello que su colaboración con la justicia debió de dar lugar a la apreciación de una circunstancia atenuante de la responsabilidad penal con la consiguiente minoración de la pena impuesta. Al no hacerlo así, la sentencia del Tribunal Supremo habría vulnerado el derecho fundamental aludido.</w:t>
      </w:r>
    </w:p>
    <w:p w:rsidRPr="00C21FFE" w:rsidR="00F31FAF" w:rsidRDefault="00356547">
      <w:pPr>
        <w:rPr/>
      </w:pPr>
      <w:r w:rsidRPr="&lt;w:rPr xmlns:w=&quot;http://schemas.openxmlformats.org/wordprocessingml/2006/main&quot;&gt;&lt;w:lang w:val=&quot;es-ES_tradnl&quot; /&gt;&lt;/w:rPr&gt;">
        <w:rPr/>
        <w:t xml:space="preserve">a) La queja no puede ser acogida. En efecto, la primera garantía que contiene el principio de legalidad es la garantía formal, cuyo significado estriba en que únicamente cabe imponer una condena por un hecho cuando existe una norma jurídica con un determinado rango (lex scripta), que prevé que tal hecho es punible y que si se realiza le corresponderá una determinada pena, pero siempre que dicha norma jurídica exista con carácter previo a la conducta que es objeto de la condena (lex praevia). En definitiva, existe una reserva de ley para definir delitos y para amenazarlos con penas, quedando así acotadas las fuentes del Derecho en materia penal. Ahora bien, la garantía formal que significa el imperio de la ley no basta para asegurar la previsibilidad de las consecuencias jurídicas de los propios actos ni para garantizar que nadie pueda ser castigado por un hecho no contemplado por la ley (SSTC 133/1987, de 21 de julio, FJ 5, y 120/1996, de 8 de julio, FJ 8), pues cabe la posibilidad de que, bien el legislador, bien el juzgador, desconozcan el sentido de garantía de la ley penal.  Por ello los Jueces y Tribunales (SSTC 137/1997, de 21 de julio, FJ 6, 151/1997, de 29 de septiembre, FJ 3, y 232/1997, de 16 de diciembre, FJ 2) están sometidos al principio de tipicidad, en el sentido de que, por un lado, se encuentran en una situación de sujeción estricta a la ley penal (SSTC 133/1987, de 21 de julio, FJ 5, 182/1990, de 15 de noviembre, FJ 3, 156/1996, de 14 de octubre, FJ 1, 137/1997, de 21 de julio, FJ 6) y, por otro, les está vedada la interpretación extensiva y la analogía in malam partem (SSTC 81/1995, de 5 de junio, FJ 5, 34/1996, de 11 de marzo, FJ 5; AATC 3/1993, de 11 de enero, FJ 1, 72/1993, de 1 de marzo),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En el ámbito del recurso de amparo la tarea del Tribunal Constitucional, en palabras de la STC 189/1998, de 28 de septiembre, FJ 7, se limita a verificar si la interpretación realizada por los órganos judiciales era una de las interpretaciones posibles de la norma en atención a los valores de seguridad jurídica y de monopolio legislativo en la determinación esencial de lo penalmente ilícito, y a supervisar externamente que la interpretación adoptada responde a unas reglas mínimas de interpretación, de modo que quepa afirmar que la decisión judicial era un resultado previsible, en cuanto razonable, de lo decidido por la soberanía popular (STC 142/1999, de 22 de julio, FJ 4). Por ello hemos declarado en ocasiones anteriores que es ajena al contenido propio de nuestra jurisdicción la interpretación última del contenido de los tipos sancionadores y el control de la corrección del proceso de subsunción de los hechos probados en los preceptos aplicados. Es más, aunque en alguna medida pudiera considerarse que toda interpretación y aplicación incorrecta de un tipo sancionador pueda equivaler a una condena situada fuera de los supuestos previstos en el mismo, dicha consideración resulta en rigor ajena a la perspectiva constitucional, pues nuestro control queda delimitado en cuanto a su finalidad por el objetivo de evitar que las resoluciones judiciales impidan a los ciudadanos "programar sus comportamientos sin temor a posibles condenas por actos no tipificados previamente" (STC 133/1987, de 21 de julio, FJ 5), y, en cuanto a los criterios o pautas de enjuiciamiento, por la verificación del respeto del tenor de los preceptos sancionadores aplicados, así como de la coherencia lógica y sistemática de las pautas metodológicas y valorativas extravagantes en la interpretación y aplicación de dichos preceptos.</w:t>
      </w:r>
    </w:p>
    <w:p w:rsidRPr="00C21FFE" w:rsidR="00F31FAF" w:rsidRDefault="00356547">
      <w:pPr>
        <w:rPr/>
      </w:pPr>
      <w:r w:rsidRPr="&lt;w:rPr xmlns:w=&quot;http://schemas.openxmlformats.org/wordprocessingml/2006/main&quot;&gt;&lt;w:lang w:val=&quot;es-ES_tradnl&quot; /&gt;&lt;/w:rPr&gt;">
        <w:rPr/>
        <w:t xml:space="preserve">b) Nada de lo anterior se suscita en la demanda de amparo para justificar la lesión del principio de legalidad que se sostiene. El recurrente no argumenta haber sido condenado por una ley no vigente en el momento de perpetración del delito ni que la pena impuesta no se corresponda con la prevista en la norma o que exceda del grado correspondiente a su participación o consumación del delito o con las circunstancias modificativas de la responsabilidad presentes en el caso. Únicamente sostiene un déficit de individualización en comparación con otros condenados en la misma Sentencia, en quienes no concurriría la circunstancia de haber colaborado en el descubrimiento del delito y la averiguación de sus partícipes que, estima, sí se dan en él. Con ello desplaza la queja a la perspectiva de la motivación de la resolución judicial condenatoria (art. 24.1 CE) en el caso de que coincidamos, como el recurrente sostiene, en que el órgano judicial ha omitido toda justificación sobre la individualización de la pena (supuesto que ya contempló este Tribunal en la STC 47/1998, de 2 de marzo, FJ 6, y en el ATC 204/1996, de 16 de diciembre, a título de ejemplo).</w:t>
      </w:r>
    </w:p>
    <w:p w:rsidRPr="00C21FFE" w:rsidR="00F31FAF" w:rsidRDefault="00356547">
      <w:pPr>
        <w:rPr/>
      </w:pPr>
      <w:r w:rsidRPr="&lt;w:rPr xmlns:w=&quot;http://schemas.openxmlformats.org/wordprocessingml/2006/main&quot;&gt;&lt;w:lang w:val=&quot;es-ES_tradnl&quot; /&gt;&lt;/w:rPr&gt;">
        <w:rPr/>
        <w:t xml:space="preserve">Pues bien, tampoco desde esta perspectiva puede el recurso prosperar. El fundamento jurídico 27 de la Sentencia condenatoria desarrolla la argumentación del Tribunal sentenciador sobre las penas que deben ser impuestas a los condenados.  Después de analizar la perteneciente a cada uno de los delitos objeto de condena y de admitir que, en el caso, nos encontramos con un concurso ideal o medial de delitos por ser el resultado punitivo más favorable a los condenados, argumenta que "nos hallamos ante un hecho sumamente grave, sobre todo por la circunstancia de que precisamente aquéllos que en la organización del Estado tienen encomendado velar por la libertad y el ejercicio pacífico de los derechos de los ciudadanos, sin justificación alguna ..., cometieron la infracción de privar de libertad durante diez días en condiciones infrahumanas a una persona ... contra quien ningún cargo han podido demostrar". No podemos olvidar la responsabilidad pública que ocupaba el recurrente en el momento de ocurrir los hechos (Gobernador Civil de Vizcaya y, por tanto, máximo garante del cumplimiento de la legalidad por parte de las fuerzas policiales a su mando en dicho territorio), ni tampoco que el Tribunal sentenciador no ha considerado que su actitud autoinculpatoria (adoptada después de que una prueba pericial caligráfica lo imputara) mereciera un tratamiento más tenue de su responsabilidad penal. Por eso ha optado por imponer las "penas máximas permitidas por la ley", y lo ha hecho razonándolo expresamente en la Sentencia, como exige el art. 66.1 del Código Penal y el art. 24.1 CE, por lo que ningún reproche cabe hacer, desde la perspectiva constitucional, a dichas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detalladamente en el antecedente 3 a), el recurrente alega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 el recurrente,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 que la doctrina constitucional, que entiende que las garantías que protegen a Senadores y Diputados compensan la ausencia de doble instancia, debe ser matizada en este caso, dado que el recurrente no es aforado y, por tanto, no ha utilizado ningún fuero especial, porque su condición no se lo permitía.  Finalmente, afirma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entonces, por quien no siendo aforado ha visto como se trasladaba ante la Sala de lo Penal del Tribunal Supremo el enjuiciamiento de las imputaciones que pesaban sobre el, dado que uno de los imputados en la misma causa tenía la condición necesaria para el aforamiento previsto en el art. 71.3 CE, y dado que se apreció conexidad respecto de los hechos atribuidos al aforado y a él mismo.</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 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del recurrente se ha de tener en cuenta que el fuero constitucionalizado en el art. 71.3 CE no es directamente aplicable al demandante de amparo, ya que carece de la condición de Diputado o Senador. El enjuiciamiento del recurrente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el recurrente viera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 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 "en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w:t>
      </w:r>
    </w:p>
    <w:p w:rsidRPr="00C21FFE" w:rsidR="00F31FAF" w:rsidRDefault="00356547">
      <w:pPr>
        <w:rPr/>
      </w:pPr>
      <w:r w:rsidRPr="&lt;w:rPr xmlns:w=&quot;http://schemas.openxmlformats.org/wordprocessingml/2006/main&quot;&gt;&lt;w:lang w:val=&quot;es-ES_tradnl&quot; /&gt;&lt;/w:rPr&gt;">
        <w:rPr/>
        <w:t xml:space="preserve">Conforme a este criterio restrictivo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a la Sentencia recaída en el recurso de amparo núm. 3805/98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