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Rosina Montes Agustí, Procuradora de los Tribunales, en nombre y representación de doña Manuela Romero Macías y doña Francisca González Camarero, por medio de escrito presentado el 26 de enero de 1986, interpone recurso de amparo contra Sentencia de 26 de octubre de 1987, dictada por el Tribunal Central de Trabajo (Sala Cuarta) en el recurso de suplicación núm. 3.668/1987, formulado por el Instituto Nacional de Empleo contra la Sentencia de la Magistratura de Trabajo núm. 8 de Sevilla, dictada en los autos 1.996/1986, por la que se deniega a las recurrentes el derecho al subsidio de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señala como fundamento de la pretensión de amparo infracción de los arts. 9.3, 171, 14, 24, 25 y 35 C.E., derivada de que el fallo de la Sentencia recurrida revocatoria de la dictada por la Magistratura de Trabajo, denegó a las actoras el subsidio de desempleo por no figurar inscritas sin interrupción como demandantes desde el 1 de noviembre. haciendo aplicación del art. 13.1 de la Ley 31/1984, de 2 de agosto, en relación con la Disposición transitoria segunda de dicha norma legal y Real Decreto 625/1985, de 2 de abril. A tales efectos se aducen los siguientes argumentos: 1.° la no renovación de la demanda de empleo en el censo es atípica e ignorada en nuestro ordenamiento jurídico, ya que ni tan siquiera se ha utilizado esta expresión hasta el Real Decreto 2.394/1986, de 14 de noviembre, y con distinto efecto del apreciado en la resolución impugnada; 2.° la demanda de empleo ha de considerarse siempre subsistente en tanto no se cancela por voluntad expresa del trabajador, por colocación o por rechazo de un empleo; 3.° el hecho de no acudir a la Oficina de Empleo cuando se requiere para ello al subsidiado supone una falta grave, a tenor del art. 30.1.1 de la Ley de 2 de agosto de 1984, de Protección por Desempleo, pero no lleva aparejada la extinción del subsidio; 4.° el Tribunal Central de Trabajo, en Sentencia de 19 de febrero de 1982, ha declarado vigente la demanda de empleo realizada por un trabajador en el dilatado periodo de tiempo comprendido entre su solicitud, 12 de enero de 1968, y su fallecimiento, 17 de noviembre de 1977, por el hecho de no obtener ocupación; 5.° en cualquier caso, para que el acto cancelatorio del asiento tuviera eficacia era preciso que se hubiera notificado a las interesadas; 6.° la necesidad de renovación de la demanda no se justifica por la evitación de fraudes, y 7.° la función de los Tribunales es aplicar e interpretar la Ley, integrando, en su caso, las lagunas que existan en el ordenamiento jurídico, pero no crear Derecho. En consecuencia, la demanda de amparo terminaba solicitando se declarase nula la Sentencia recurrida y se reconociera el derecho de las actoras al subsidio de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providencia de 15 de febrero de 1988, de conformidad con lo dispuesto en el art. 50 LOTC, concedió el plazo común de diez días al Ministerio Fiscal y a las recurrentes para que formularan alegaciones sobre la posible concurrencia, como causa de inadmisión del recurso prevista en el párrafo 2 b) de dicho precepto. de carencia manifiesta de contenido en la demanda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medio de escrito presentado el 2 de marzo de 1988, interesó que, de acuerdo con lo dispuesto en el art. 86.1 LOTC, se dictara Auto de inadmisión con base al motivo puesto de manifiesto, ya que, frente a los argumentos de la demanda, las recurrentes han incumplido un requisito previsto legalmente que no podían desconocer. El Fiscal hace suyas las razones de la STC 119/1987, de 9 de julio, y rechaza que se haya vulnerado el principio de legalidad, que se haya producido discriminación alguna o que la falta de notificación del acto administrativo cancelatorio de la inscripción en la Oficina de Desempleo haya creado indefensión a las actoras.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recurrentes formularon sus alegaciones en escrito presentado en el mismo día 2 de marzo del año en curso solicitan la admisión a trámite del recurso y su sustanciación hasta Sentencia, y reiteran la lesión de los derechos fundamentales reconocidos en los preceptos constitucionales invocados en la demanda. A tal efecto exponen que el acto administrativo por el que se da de baja al trabajador en el censo como demandante de amparo es restrictivo de derecho asimilable a una sanción; existe un trato discriminatorio entre los que son perceptores del subsidio y los que no lo son en la practica administrativa; y, en relación con la seguridad jurídica. Disposición transitoria segunda del Real Decreto 625/1985, de 2 de abril, de desarrollo de la Ley 31/1984, introduce un requisito no previsto en la propia Ley al exigir la inscripción ininterrumpida; y la baja por no renovación de la demanda de empleo en el censo es atípica e ignorada en nuestro ordenamiento jurídico, como se desprende del mismo informe del Defensor del Pueblo marginado con la numeración 5.1.4, y publicado en el «Boletín Oficial de las Cortes» de 6 de mayo de 1987, serie E, núm. 34.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 relación de infracciones que fundamentan la demanda deben ser excluidas de todo análisis las que se refieren a los arts. 9.3 y 35 C.E., en cuanto que, conforme a los arts. 53.2 C.E., 161.1 b) C.E. y 41 LOTC, no reconocen derechos fundamentales susceptibles de residenciarse en amparo.  De esta forma, resultan marginales para el recurso las consideraciones hechas por la representación actora en relación con la quiebra del principio de jerarquía normativa derivada de un eventual exceso en el ejercicio de la potestad reglamentaria, por haberse introducido, según se dice, por disposición transitoria segunda del Real Decreto 625/1985, de 2 de abril, la exigencia, no establecida por Ley, para el reconocimiento del subsidio de desempleo, de que fuera «sin interrupción» la inscripción en el registro como demandante de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Igualmente carece de toda relevancia la cita del art. 17.1 C.E. que, como ha reiterado este Tribunal, no consagra el derecho a la seguridad jurídica, sino el derecho a la seguridad personal, paralelo a la libertad individual y la ausencia de perturbaciones procedentes de medidas de detenciones ilegales o de otras similares que puedan restringir aquélla o ponerla en peligro (STC 109/1987, de 29 de junio, y STC 126/1987, de 16 de julio, entre otras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infracción del art. 25 C.E., que la demanda señala como consecuencia de que la baja por no renovación de la demanda de empleo carece totalmente de cobertura normativa, ha de señalarse que en todo caso, el acto administrativo de dicha baja no tiene contenido sancionador o condenatorio.  Si en algún sentido es restrictivo de derecho lo seria de un eventual derecho a permanecer como inscrito en la Oficina de Empleo correspondiente, pero tal inscripción no puede considerarse como derecho del desempleado, sino que, por el contrario, es una obligación o carga para éste, y no resulta tal baja restrictiva del derecho al trabajo ni del derecho a prestaciones.  Todo ello evidencia que no alcanzan al acto cuestionado las garantías del derecho fundamental ex art. 25.1 C.E., pues no constituye sanción para el desempleo ni se califica su conducta como infracción sancionable.  Es cierto que tal hecho acarrea la interrupción en la inscripción como demandante de empleo y esta interrupción impide el devengo del subsidio, según la Ley 31/1984 y su Reglamento de desarrollo, mas esto último, que sólo sería efecto mediato del acto sin amparo legal, tampoco equivale a una sanción, a diferencia de la pérdida de prestaciones ya reconocidas, no equiparable a la denegación de las prestaciones solicitadas, pues una cosa es una resolución limitativa de derechos basada en una conducta jurídicamente reprochable y otra bien distinta el no reconocimiento de un derecho por no concurrir los requisitos necesarios establecidos por 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violación del art. 14 C.E., se concreta en la tesis actora en que la no renovación de la demanda de empleo sólo está regulada por el Real Decreto 2.394/1986 para determinado colectivo, que distingue, además, de forma discriminatoriamente injustificada, entre los que perciben prestaciones y los que no las perciben en favor de los primeros, cuando éstos deberían, por el contrario, ser objeto de un control más riguroso para evitar fraudes.  Sin embargo, también debe excluirse este motivo de vulneración de derecho fundamental, porque la comparación no sólo es inadecuada -no hay por qué pensar en la necesidad de iguales medios o normas de control contra fraudes en uno y otro caso-, sino, sobre todo, porque los ya «perceptores» del subsidio -que lo son al amparo de igual norma que el actor- fueron antes «solicitantes» a los que, de estar en semejantes condiciones que las suyas, alcanzaba la misma obligación que a las recurrentes se imponía para devengar la prestación, de manera que no existe desigual trato.  Por otro lado, la tesis judicial sobre la interpretación de la Disposición transitoriasegunda de la Ley 31/1984 y de la Disposición transitoria segunda del Reglamento de segunda de la Ley 31/1984 y de la Disposición transitoria segunda del Reglamento de desarrollo, y, más en general, la necesidad de la inscripción como demandante de empleo para el devengo de prestaciones por desempleo, ha sido objeto de consideración, en cierto sentido, por las SSTC 25/1987, de 27 de febrero -en que no se planteó la constitucionalidad del requisito citado, sino una presunta desigual aplicación judicial del mismo- y 119/1987, de 9 de julio, esta última referente a la necesidad de tal inscripción en plazo para el devengo de prestaciones por desempleo. Siguiendo la tesis de esta última, cabe decir aquí que la necesidad de permanencia o ininterrupción de la inscripción es una exigencia legal, junto con otras condiciones, y tiende a comprobar que el trabajador desempleado manifiesta una «voluntad sostenida» de trabajar. Su incumplimiento origina una diferencia innegable entre la situación del demandante y la de quienes cumplen tal exigencia, justificando el desigual trato de una y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la trascendencia dada a la falta de notificación del acto administrativo de baja en orden a la observancia del contenido del derecho reconocido por el art.  24.1 C.E. tampoco puede ser acogida, pues las garantías de este precepto constitucional sólo alcanzan a los procesos judiciales y, en su interpretación extensiva, a los actos administrativos sancionadores.  La falta de notificación alegada podrá fundar una pretensión impugnatoria en las vías ordinarias con tal específico objeto, o en el relativo a prestaciones por desempleo en que ello pueda influir, mas no puede fundamentar la pretensión en amparo formulada, dado que no sólo el art. 24.1 C.E. es inaplicable, sino también que, de serlo, no cabría entender que la conducta omisiva de la Administración haya impedido a las demandantes defenderse debidamente sobre la conformidad a Derecho del contenido de los diversos actos administrativos relevantes en 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