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4258-1997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4.258/1997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de la ejecución de la Sentencia de 30 de julio de 1997, de la Sección Segunda de la Audiencia Provincial de Huelva, dictada en apelación en el juicio de faltas 75/1996 (Rollo 79/1997).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24 de octubre de 1997, la representación procesal del demandante ha interpuesto recurso de amparo contra la Sentencia de 30 de julio de 1997 de la Sección Segunda de la Audiencia Provincial de Huelva dictada en apelación que declara la responsabilidad civil subsidiaria del recurrente (Rollo 79/1997, Juicio de faltas 75/1996).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Como consecuencia del derrumbamiento de un edificio en construcción que produjo la muerte de una mujer, se celebró juicio de faltas en el que el dueño de la obra, el arquitecto y el aparejador fueron acusados por los perjudicados como autores de una falta de imprudencia a la que se anudó la declaración de responsabilidad civil derivada de la misma. El Ministerio Fiscal pidió únicamente la condena del dueño de la obra. </w:t>
      </w:r>
    </w:p>
    <w:p w:rsidRPr="00C21FFE" w:rsidR="00AD51A7" w:rsidRDefault="00AD51A7">
      <w:pPr>
        <w:rPr/>
      </w:pPr>
      <w:r w:rsidRPr="&lt;w:rPr xmlns:w=&quot;http://schemas.openxmlformats.org/wordprocessingml/2006/main&quot;&gt;&lt;w:lang w:val=&quot;es-ES_tradnl&quot; /&gt;&lt;/w:rPr&gt;">
        <w:rPr/>
        <w:t xml:space="preserve">b) La Sentencia de instancia estimó extinguida la responsabilidad penal por prescripción de la falta, al valorar que las actuaciones Judiciales habían estado paralizadas desde el 21 de junio hasta el 10 de octubre de 1996. </w:t>
      </w:r>
    </w:p>
    <w:p w:rsidRPr="00C21FFE" w:rsidR="00AD51A7" w:rsidRDefault="00AD51A7">
      <w:pPr>
        <w:rPr/>
      </w:pPr>
      <w:r w:rsidRPr="&lt;w:rPr xmlns:w=&quot;http://schemas.openxmlformats.org/wordprocessingml/2006/main&quot;&gt;&lt;w:lang w:val=&quot;es-ES_tradnl&quot; /&gt;&lt;/w:rPr&gt;">
        <w:rPr/>
        <w:t xml:space="preserve">c) La Sentencia fue recurrida en apelación por los perjudicados que repitieron la petición de condena y consecuente responsabilidad civil para los tres acusados. </w:t>
      </w:r>
    </w:p>
    <w:p w:rsidRPr="00C21FFE" w:rsidR="00AD51A7" w:rsidRDefault="00AD51A7">
      <w:pPr>
        <w:rPr/>
      </w:pPr>
      <w:r w:rsidRPr="&lt;w:rPr xmlns:w=&quot;http://schemas.openxmlformats.org/wordprocessingml/2006/main&quot;&gt;&lt;w:lang w:val=&quot;es-ES_tradnl&quot; /&gt;&lt;/w:rPr&gt;">
        <w:rPr/>
        <w:t xml:space="preserve">d) La sentencia de apelación revoca la de instancia, considera no acreditada la prescripción de la falta al apreciar la existencia de actuaciones judiciales entre el 21 de junio y el 10 de octubre, declarando no computable el mes de agosto, y aprecia la existencia de responsabilidad penal únicamente en el dueño de la obra -que fue quien por su propia cuenta y riesgo continuó ésta una vez paralizada por falta de medios económicos- pero declara también, ex art. 22 del Código Penal, la responsabilidad civil subsidiaria del arquitecto y del aparejador de la obra.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vulneración del art. 24 C.E., por incongruencia de la sentencia de apelación y vulneración del "principio acusatorio" y del derecho a conocer la acusación, al entender que ninguno de los intervinientes en el proceso solicitaron la condena civil en calidad de responsables civiles subsidiarios de los condenados, por lo que la condena se apartó de los términos del debate procesal, excediéndose de las peticiones de las partes e impidiendo al recurrente contraargumentar sobre el fundamento de la condena. Alega también lesión del derecho a un proceso con todas las garantías por la inapreciación de extinción de la responsabilidad penal por prescripción de la falta. </w:t>
      </w:r>
    </w:p>
    <w:p w:rsidRPr="00C21FFE" w:rsidR="00AD51A7" w:rsidRDefault="00AD51A7">
      <w:pPr>
        <w:rPr/>
      </w:pPr>
      <w:r w:rsidRPr="&lt;w:rPr xmlns:w=&quot;http://schemas.openxmlformats.org/wordprocessingml/2006/main&quot;&gt;&lt;w:lang w:val=&quot;es-ES_tradnl&quot; /&gt;&lt;/w:rPr&gt;">
        <w:rPr/>
        <w:t xml:space="preserve">Asimismo, y 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(Sala 11), mediante providencia de fecha 30 de abril de 1999, acordó admitir a trámite el recurso de amparo y dirigir comunicación al órgano judicial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10 y 12 de mayo de 1999, el recurrente en amparo y el Ministerio Fiscal han presentado sus alegaciones en el incidente de suspensión, reiterando aquél lo expuesto en su escrito de demanda y manifestando éste su oposición al otorgamiento de la suspensión instada de la resolución impugnada en esta sede, tanto por el contenido económico de la condena impuesta, como por su carácter subsidiario, que hace innecesario el pronunciamiento que se solicita.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17/80, 57/80, 257/86, 249/89, 294/89, 141/90 ó 35/96),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poseo especial relieve cuando se trata de resoluciones dictadas por Jueces y Tribunales en el ejercicio de la potestad jurisdiccional que les confiere el art. 117.3 de la Constitución". La premisa de partida es que la interposición del recurso de amparo, como regla general, no suspende la ejecución de los actos recurridos, salvo en el supuesto expresamente previsto en la LOTC -pérdida de la finalidad del amparo- y aún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hay perjuicio irreparable cuando la no suspensión del acto recurrido provoque que el posterior y eventual restablecimiento del recurrente en el derecho constitucional vulnerado, en el supuesto de que el amparo sea otorgado, sea tardío e impida definitivamente que tal restauración sea efectiva. En general, hemos declarado que las resoluciones judiciales con efectos meramente patrimoniales o económicos no causan, en principio, perjuicios irreparables, por lo que no procede su suspensión (AATC 573/1985, 574/1985 ó 275/1990). Conclusión que se extiende a las costas procesales, por entrañar éstas un pago en dinero que puede ser resarcible en el caso de que finalmente se otorgue el amparo y se declare la nulidad de la sentencia que las impone (AATC 244/1991 y 202/1992, entre otros).</w:t>
      </w:r>
    </w:p>
    <w:p w:rsidRPr="00C21FFE" w:rsidR="00AD51A7" w:rsidRDefault="00AD51A7">
      <w:pPr>
        <w:rPr/>
      </w:pPr>
      <w:r w:rsidRPr="&lt;w:rPr xmlns:w=&quot;http://schemas.openxmlformats.org/wordprocessingml/2006/main&quot;&gt;&lt;w:lang w:val=&quot;es-ES_tradnl&quot; /&gt;&lt;/w:rPr&gt;">
        <w:rPr/>
        <w:t xml:space="preserve">A la luz de la doctrina que se acaba de exponer no procede decretar la suspensión solicitada pues la ejecución de la Sentencia desestimatoria impugnada sólo conlleva, respecto al recurrente, el pronunciamiento en orden al pago de la responsabilidad civil derivada del accidente, la cual, además, ha sido ya afianzada. De suerte que, en atención a su naturaleza puramente patrimonial o económica, dicha ejecución no puede entrañar un perjuicio irreparable para el demandante de amparo, ya que el pago anticipado, o el coste del afianzamiento, es siempre resarcible.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de la ejecución de la Sentencia de 30 de julio de 1997, de la Sección Segunda de la Audiencia Provincial de Huelva, dictada en apelación en el juicio de faltas 75/1996 (Rollo 79/1997).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