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1926-2002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Sección Segunda de la Audiencia Provincial de Oviedo de 4 de marzo de 2002, dictada en la apelación núm. 32-2002.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abril de 2002, el Procurador de los Tribunales don José Ignacio de Noriega Arquer, en nombre y representación de don Leandro Alba Busto, interpone recurso de amparo contra la Sentencia dictada por la Sección Segunda de la Audiencia Provincial de Oviedo el 4 de marzo de 2002, que revocó en apelación (rollo núm. 32-2002) la dictada por el Juzgado de Instrucción núm. 5 de Avilés, en el juicio de faltas núm. 554-2001, en causa seguida por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16 de diciembre de 2002, la Sección Primera acordó, respectivamente, admitir a trámite la demanda de amparo y la apertura de pieza separada para la tramitación del incidente sobre suspensión de la ejecución, concediendo al demandante de amparo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evacuó el trámite conferido mediante escrito registrado el 19 de diciembre de 2002. En dicho escrito, de conformidad con la doctrina constitucional aplicable, interesó la suspensión de la pena de arresto de tres fines de semana, oponiéndose a la suspensión en todo lo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no presentó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de 15 de julio; 36/1983, de 26 de enero; 182/1998, de 14 de septiembre; 186/1998, de 14 de septiembre,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de 25 de mayo; 284/1995, de 23 de octubre; 219/1996, de 22 de julio; 419/1997, de 22 de diciembre; 274/1998, de 14 de diciembre; 117/1999, de 29 de abril; 227/1999, de 27 de septiembre; 292/2000, de 11 de diciembre; 41/2001 de 26 de febrero y 155/2002 de 162.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resolución objeto del presente recurso el demandante de amparo fue condenado finalmente, como autor responsable de una falta de lesiones del art. 617 del Código penal, a la pena de tres fines de semana de arresto y al pago de una indemnización de 200 € a la denunciante, imponiéndosele igualmente la prohibición de aproximarse a ella durante seis meses y al abono de las costas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advertir que es evidente la parcial pérdida de la finalidad del amparo que inevitablemente conlleva el cumplimiento de la pena mientras dura la tramitación del presente proceso (AATC 88/1981, de 4 de agosto; 486/1983, de 19 de octubre; 476/1984, de 26 de julio; 53/1992, de 19 de febrero; 196/1995, de 3 de julio; 214/1995, de 17 de julio; 312/1995, de 20 de noviembre; 121/1996, de 20 de mayo; 226/1996, de 22 de julio; 228/1996, de 22 de julio; 310/1996, de 28 de octubre; 394/1996, 47/1998, de 24 de febrero 48/1998, de 24 de febrero y 208/1998, de 5 de octubre). Por otro lado debe negarse la suspensión "cuando de ésta pueda seguirse perturbación ... de los derechos fundamentales o libertades públicas de un tercero" (inciso último del art. 56.1 LOTC). Esto nos lleva a denegar la suspensión de las penas de arresto de tres fines de semana y la de aproximarse a la víctima durante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como señala el Fiscal, la imposición en la Sentencia de la pena de alejamiento de la víctima tiene por objeto proteger la integridad física de aquélla -que constituye, asimismo, un derecho fundamental- frente a eventuales nuevos ataques, y que la restricción de la libertad deambulatoria del actor a dicha pena es mínima.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Téngase en cuenta que la jurisprudencia de este Tribunal pone de relieve que en las condenas penales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 226/1996, 310/1996, 349/1996, 419/1997, 420/1997, 79/1998, 85/2001 y 99/2002), para denegar, en su caso, la suspensión. Además, la suspensión de la ejecución de la Sentencia entraña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(AATC 275/1986 y 274/2002,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no procede la suspensión de la Sentencia en lo atinente a los pronunciamientos de carácter patrimonial (indemnizaciones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ni la indemnización impuesta (200 €) es de extraordinaria cuantía, ni se ha acreditado la irreparabilidad del perjuicio derivado de la ejecución por la concurrencia de circunstancias especiales. El recurrente no aporta prueba alguna sobre dificultades económicas para hacer frente al pago de la cantidad en cuestión y, como reiteradamente hemos sostenido, la acreditación del perjuicio es carga del recurrente, quien debe además probar, o al menos justificar ofreciendo un principio razonable de prueba, la irreparabilidad del perjuicio (por todos, AATC 253/1995, 72/1997, 93/2002 y 165/2002).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Sección Segunda de la Audiencia Provincial de Oviedo de 4 de marzo de 2002, dictada en la apelación núm. 32-2002.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