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al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10 de mayo de 2002, el Procurador de los Tribunales don Ramón Rodríguez Nogueira, en nombre y representación de don José María Sánchez Picazo, interpuso recurso de amparo contra la Sentencia de la Sección Undécima de la Audiencia Provincial de Valencia de 30 de marzo de 2002 por la que, estimando el recurso de apelación interpuesto frente a la Sentencia de 28 de noviembre de 2001 del Juzgado de Primera Instancia núm. 20 de Valencia,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Sánchez Picazo, Secretario de Administración Local, en reclamación de 901,52 euros, importe al que ascendían las cuotas impagadas al mismo. </w:t>
      </w:r>
    </w:p>
    <w:p w:rsidRPr="00C21FFE" w:rsidR="00AD51A7" w:rsidRDefault="00AD51A7">
      <w:pPr>
        <w:rPr/>
      </w:pPr>
      <w:r w:rsidRPr="&lt;w:rPr xmlns:w=&quot;http://schemas.openxmlformats.org/wordprocessingml/2006/main&quot;&gt;&lt;w:lang w:val=&quot;es-ES_tradnl&quot; /&gt;&lt;/w:rPr&gt;">
        <w:rPr/>
        <w:t xml:space="preserve">b) El Sr. Sánchez Picazo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estimadas en Sentencia dictada el 28 de noviembre de 2001 por el Juzgado de Primera Instancia núm. 20 de Valencia.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30 de marzo de 2002 por la Sección Undécima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10 de marzo de 2003, la Sala Primera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15 de marzo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mismo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7 de mayo, 1 de junio, 8 de junio, 11 de julio y 12 de julio de 2002 de las Secciones Cuarta y Sexta de la Audiencia Provincial de Valencia,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30 de marzo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17 de marzo de 2003 presentó su escrito de alegaciones el Ministerio Fiscal. En él manifiesta, en primer lugar, que la medida de no suspensión y la obligación consiguiente de pagar las cuotas debidas no supone que el Tribunal Constitucional entienda que no se ha vulnerado el derecho de asociación o el derecho a la igualdad. Resalta el carácter excepcional de la medida de suspensión de resoluciones judiciales y que es doctrina de este Tribunal que no procede la suspensión de las que admiten la restitución íntegra de lo ejecutado como sucede con los pronunciamientos de efectos exclusivamente patrimoniales. En el caso que nos ocupa estamos ante un supuesto de perjuicio meramente económico y además no hay riesgo de impago en caso de estimación del amparo dada la nimiedad de la cantidad y la solvencia de la acreedora. Recuerda finalmente que un caso similar al presente ha sido resuelto por el ATC 169/2002 en el sentido de no acordar la suspensión solicitada.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podría conllevar el derecho del hoy demandante a que no le sean cobradas las cuotas que reclama el colegio de Secretarios, Interventores y Tesoreros de Administración local de habilitación nacional de la provincia de Valencia.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colocándonos por encima del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al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