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101</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don Manuel Aragón Reyes, don Pablo Pérez Tremps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1246-2011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1246-2011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medida cautelar de suspensión solicitada por don Moisés Posada Sarmiento en el recurso de amparo núm. 1246-2011.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2 de marzo de 2011, la Procuradora de los Tribunales doña María Dolores Girón Arjonilla, en nombre de don Moisés Posada Sarmiento, interpuso recurso de amparo contra la Sentencia de 2 de diciembre de 2010 de la Sala de lo Penal del Tribunal Supremo, que desestima íntegramente el recurso de casación interpuesto contra la Sentencia de 3 de febrero de 2010 dictada por la Sección Tercera de la Audiencia Provincial de Cádiz.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de suspensión formulada por el demandante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recurrente en amparo fue condenado por la Audiencia Provincial de Cádiz, mediante Sentencia de 3 de febrero de 2009, como autor responsable de un delito contra la salud pública, en la modalidad de extrema gravedad, sin circunstancias modificativas de la responsabilidad criminal, a la pena de cinco años y seis meses de prisión, con inhabilitación especial para el ejercicio del derecho de sufragio pasivo durante el tiempo de la condena, y multa de 7.000.000 €, así como al pago de un quinto de las costas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Interpuesto recurso de casación, es desestimado íntegramente por Sentencia de 2 de diciembre de 2010 de la Sala de lo Penal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demandante de amparo alega que las resoluciones judiciales recurridas han vulnerado su derecho a la intimidad (ex art. 18.1 CE), así como su derecho al secreto de la comunicaciones (ex art. 18.3 CE), al entender que era necesaria autorización judicial para proceder al examen de la agenda de un teléfono móvil de su propiedad, que la Policía Nacional encontró en un invernadero donde se localizaron un total de 2.488.280 gramos de hachís.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y de acuerdo con lo dispuesto en el art. 56 de la Ley Orgánica del Tribunal Constitucional (LOTC), el recurrente solicita en la demanda de amparo que se deje en suspenso la ejecución de la Sentencia condenatoria, alegando que dicha ejecución podría ocasionarle un perjuicio de imposible reparación que haría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16 de abril de 2012, la Sección Primera del Tribunal Constitucional acordó la admisión a trámite de la demanda de amparo, así como, a tenor de lo establecido en el art. 51 LOTC, requerir atentamente a la Sala de lo Penal del Tribunal Supremo y a la Sección Tercera de la Audiencia Provincial de Cádiz para que remitieran testimonio de las respectivas actuaciones, interesándose al tiempo que se emplazase a quienes fueron parte en el procedimiento penal, a excepción del demandante de amparo, para que pudieran comparecer en el presente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otra providencia de la misma fecha se acordó formar la correspondiente pieza separada de medidas cautelares y, de conformidad con lo previsto en el art. 56 LOTC, conceder un plazo común de tres días al Ministerio Fiscal y al recurrente en amparo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conferido, mediante escrito presentado el 3 de mayo de 2012, oponiéndose a la suspensión solicitada. Tras recordar la doctrina constitucional en materia de suspensión de Sentencias penales condenatorias, el Ministerio Fiscal apoya su solicitud denegatoria señalando que la pena de prisión impuesta es superior a cinco años y que los hechos delictivos por los que ha sido condenado el recurrente revisten especial gravedad, no solo por la naturaleza del hecho delictivo y del bien jurídico protegido (salud pública), sino porque se ha apreciado la concurrencia del subtipo agravado de extrema gravedad, en relación con la notoria cantidad de sustancia estupefaciente aprehendida. Todo ello sin perjuicio de advertir sobre la oportunidad de otorgar al recurso una tramitación preferente, a fin de reducir en lo posible los eventuales efectos negativos derivados de la ejecución de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en amparo, mediante escrito registrado con fecha 24 de abril de 2011, reitera su petición de suspensión de la condena, argumentando que la ejecución de la misma le causaría daños irreparables en su esfera familiar y laboral, y que frustraría la finalidad del amparo.</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(LOTC)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(entre otros muchos, AATC 2/2001, de 15 de enero, FJ 1; y 4/2006, de 16 de enero, FJ 1). En principio, pues,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y que la suspensión no produzca las perturbaciones graves a las que se refiere el art.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por perjuicio irreparable ha de entenderse aquel que provoque que el restablecimiento del recurrente en el derecho constitucional vulnerado sea tardío y convierta el amparo en meramente ilusorio y nominal (por todos, ATC 212/2009, de 9 de julio, FJ 1). Más concretamente, hemos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criterio, no obstante, no es absoluto, pues la doctrina que hemos elaborado señala que, en tales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en principio, en ella se expresa la reprobación que el ordenamiento asigna al hecho delictivo y, por consiguiente, la magnitud del interés en su ejecución (AATC 273/1998, de 14 de diciembre, FJ 2; y 201/2007, de 27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en las condenas a penas privativas de libertad de corta duración la regla general ha sido la suspensión conforme al criterio genérico de la posible pérdida de eficacia del amparo (ATC 80/2006, de 13 de marzo, FJ 1 in fine) y a la entidad de la pena en cuanto expresiva del grado de reprobación del hecho por el ordenamiento (AATC 277/1985, de 24 de abril; 264/1998, de 26 de noviembre; 265/1998, de 26 de noviembre; 22/2002, de 25 de febrero; y 39/2004, de 9 de febrero); criterios a los que se ha añadido el relativo al tiempo de cumplimiento efectivo de la pena, ya sea por haber estado en prisión preventiva o por haberse ejecutado tras ser firme la condena (ATC 221/2000, de 2 de octubre), así como el de la trayectoria, acreditada documentalmente por el recurrente, posterior a su condena (ATC 270/2002, de 11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conduce a denegar la suspensión interesada, en atención a la duración de la condena de privación de libertad recaída —cinco años y seis meses de prisión—, a lo que habría que añadir, en la línea apuntada por el Ministerio Fiscal, que los hechos delictivos por los que ha sido condenado el recurrente revisten especial gravedad, no solo por la naturaleza del hecho delictivo y del bien jurídico protegido, sino también porque se ha apreciado la concurrencia del subtipo agravado, sin que resulte acreditada la concurrencia de otras circunstancias que pudieran tener incidencia en la decisión que corresponde adoptar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aun cuando en el escrito de 24 de abril de 2012 viene a contraerse la petición suspensiva a la ejecución de las penas de prisión impuestas al demandante de amparo, es notorio que tampoco cabría la suspensión del resto de los pronunciamientos de la Sentencia impugnada, en atención a su carácter accesorio en lo que atañe a la privación del ejercicio del derecho de sufragio pasivo (AATC 131/2001, de 22 de mayo, FJ 2; y 408/2005, de 21 de noviembre, FJ 2), y meramente patrimonial y, por tanto, susceptible de reparación, en lo que se refiere al abono de las multas y costas procesales (ATC 59/2008, de 20 de febrero, FJ 2, entre otros muchos).</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medida cautelar de suspensión solicitada por don Moisés Posada Sarmiento en el recurso de amparo núm. 1246-2011.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