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Luis Ignacio Ortega Álvarez, don Francisco Pérez de los Cobos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7963-2010, promovido por don Fermín Vioque Ruiz, representado por el Procurador de los Tribunales don Pedro Antonio González Sánchez y asistido por el Letrado don Juan Ángel Torres Castro, contra la Sentencia de la Audiencia Provincial de Córdoba (Sección Primera) de 13 de mayo de 2010, dictada en el rollo de apelación 272-2010, por la que se revoca el pronunciamiento absolutorio dictado en Sentencia del Juzgado de lo Penal núm. 1 de Córdoba de 17 de julio de 2009, dictada en el procedimiento abreviado núm. 38-2005, y se condena al recurrente como autor de un delito contra la ordenación del territorio a la pena de seis meses de prisión por cada uno de ellos y multa de doce meses con cuota diaria de diez euros; y contra el Auto de la Audiencia Provincial de Córdoba, de 7 de julio de 2010, que desestimó el incidente de nulidad de actuaciones interpuesto contra la sentencia condenatoria. Ha intervenido el Ministerio Fiscal y el Letrado de la Junta de Andalucía.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5 de noviembre de 2010, don Pedro Antonio González Sánchez, Procurador de los Tribunales, y de don Fermín Vioque Ruiz,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Penal núm. 1 de Córdoba, de 17 de julio de 2009, absolvió al recurrente del delito contra la ordenación del territorio recogido en el art. 319.1 del Código penal (CP) del que, junto con otras personas, había sido acusado por el Ministerio Fiscal y por la Junta de Andalucía. Los términos de la acusación se concretaban en que el acusado había realizado diversas obras de acondicionamiento y reforma en una construcción y en el terreno sito en una parcela de su propiedad que se hallaba en suelo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Recurrida la Sentencia en apelación, la Audiencia Provincial de Córdoba, en Sentencia de 13 de mayo de 2010, revocó el pronunciamiento absolutorio y condenó al recurrente como autor de un delito contra la ordenación del territorio del art. 319.2 CP, por la construcción de un “almacén o similar anexo a una de las naves antiguas existente en la finca”. En su fundamento jurídico séptimo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delito que es objeto de acusación, el previsto en el artículo 319.1 del Código Penal, entendemos que existen unas dudas más que razonables de que el arquitecto y con él los otros acusados tuvieran conocimiento o hubieran podido tenerlo procediendo con una diligencia adecuada, de que esa parcela estaba integrada en el BIC. Ahora bien, estamos hablando de acusación por el tipo agravado, siendo el tipo básico el del párrafo 2 del mismo artículo 319 que se refiere a edificaciones no autorizables en suelo no urbanizable, y en el caso de autos como se ha puesto de manifiesto a lo largo del juicio, en la parcela en cuestión sólo eran posibles obras de ornato, higiene y conservación … No obstante, esta cuestión, aun de pasada, es resuelta por la sentencia de instancia aludiendo a que se trataría de obras autorizables…, fundándose en lo declarado por la Sra. [XXX], porque las obras no ‘dañan el entorno y sí lo mejoran’, afirmación que se realiza —se repite— a la vista de las fotografías aportadas inicialmente y de lo que la misma pudo observar después, pero que no sirve para modificar lo que realmente es autorizable, obras de ornato, conservación e higiene, tal como, insistimos, se ha puesto de manifiesto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Audiencia Provincial que la condena no infringiría el principio acusatorio, por cuanto concurren tanto la exigencia de homogeneidad delictiva, al proteger ambas figuras delictivas el mismo bien jurídico y dado que el relato fáctico en que se basa la acusación es común con el que funda la condena “puesto que se trata de las mismas obras que se incluyen en el relato de hechos por las acusaciones y la necesidad de contar, a lo que se ha de unir lo dicho antes sobre que las únicas obras autorizables aquí serían las de ornato, conservación e higiene”.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Sentencia condenatoria interpuso el recurrente incidente de nulidad de actuaciones, alegando motivos que ahora son reiterados en la demanda de amparo, siendo desestimado por Auto de 7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actor presentó escrito solicitando la aclaración del citado Auto, en torno a si la resolución del incidente de nulidad de actuaciones se había resuelto a partir de la regulación anterior a la Ley Orgánica 6/2007, de 24 de mayo. El 16 de septiembre de 2010, la Sala rechazó la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denuncia la vulneración del derecho a un proceso con todas las garantías (art. 24.2 CE), por la indebida tramitación del recurso de apelación presentado contra la Sentencia absolutoria por el Letrado de la Junta de Andalucía. Alega el recurrente, en primer lugar, que el mismo fue admitido a trámite pese a haber sido presentado fuera de plazo, desde el momento en que la Sentencia recurrida se había notificado a la delegación de la Consejería de Cultura con anterioridad a la notificación efectuada a los servicios jurídicos y, desde la fecha de esa primera notificación, cuando se presenta el recurso había transcurrido el plazo legalmente fijado. En segundo lugar, cuando se presentó dicho recurso ya figuraban en las actuaciones tanto el recurso interpuesto por el Ministerio Fiscal como los escritos de impugnación al mismo presentado por las defensas, por lo que el Letrado de la Junta de Andalucía tenía un conocimiento exacto de las pretensiones y argumentos de las demás partes procesales, ventaja manifiesta que no debe ser permitida y que causa indefensión al recurrente, porque al no habérsele notificado el recurso del Letrado de la Junta de Andalucía, pensó que se aquietaba a la Sentencia absolutoria. En tercer lugar, aduce el recurrente que esa falta de notificación le causa indefensión y le ha producido un perjuicio irreparable, pues —como la misma Sentencia de la Audiencia Provincial afirma— con el solo recurso del Ministerio Fiscal, la Sala sólo podía confirmar la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 amparo se invocan los derechos a la tutela judicial efectiva (art. 24.1 CE), a ser informado de la acusación y a un proceso con todas las garantías (art. 24.2 CE), alegando el demandante que se ha infringido el principio acusatorio. De una parte, al haber sido condenado por hechos distintos a aquellos por los que era acusado, en atención a dos órdenes de argumentos. En primer lugar, porque la condena se funda en la construcción de un “almacén o similar anexo a una de las naves antiguas existente en la finca” que no figuraba en los escritos de acusación y que no fue objeto de debate en el juicio oral; en segundo lugar, porque la Sala ha sostenido la condena en la valoración de unas fotografías que forman parte de un informe policial de fecha posterior a los escritos de acusación y que, por tanto, no fue aportada como prueba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tercer motivo de amparo aparece también fundamentado en la infracción del principio acusatorio, por haber sido condenado en virtud de título de imputación distinto al solicitado por la acusación. Afirma el recurrente que tanto el Ministerio Fiscal como la acusación particular vincularon los hechos —en el escrito de acusación elevado a definitivo y en el recurso de apelación— a la modalidad delictiva recogida en el art. 319.1 CP, que castiga la construcción en zonas protegidas; sin embargo, tras expresamente concluir que el citado tipo legal no es aplicable a los hechos, la Audiencia Provincial aplica el art. 319.2 CP, que sanciona la construcción no autorizable en suelo no urbanizable. En la demanda se viene a admitir, no obstante, que “en razón de la homogeneidad, el Juzgado ‘a quo’ no se habría excedido de sus facultades si hubiera condenado por el segundo párrafo del artículo 319 del CP”, situando con ello el núcleo de la queja en que por el órgano de apelación se infringe la prohibición de reformatio in peius, pues la acusación por tal delito no había sido planteada por las acusaciones en sus respectivos recursos de apelación, lo que le causa indefensión al no haber podido combatir los términos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denuncia la vulneración del derecho a la igualdad (art. 14 CE), en que habría incurrido el órgano judicial por haber condenado únicamente al recurrente, absolviendo a los restantes acusados, pese a ser los hechos sustancialmente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que la resolución del incidente de nulidad de actuaciones por parte de la Audiencia Provincial se ha basado en la regulación de tal remedio procesal anterior a la reforma operada por la Ley Orgánica 6/2007, lo que sería constitutivo de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epígrafe quinto de los fundamentos de Derecho de la demanda se dedica a la justificación de la especial trascendencia constitucional, en los siguientes términos. Se afirma primero que “la trascendencia constitucional de este recurso, aprecia de la propia lectura de los hechos que han dado motivo a plantear el recurso” (sic.), reiterándose después que el principio acusatorio “tiene especial trascendencia constitucional, pues tiene su base en el derecho a la tutela judicial efectiva, en el derecho a ser informado de la acusación y en el derecho a un proceso con todas las garantías”, y concluyendo que “en definitiva, del examen de los párrafos anteriores se infiere la especial trascendencia constitucional, pues ha quedado afectada la aplicación de los artículos de la C.E. infringidos, así como el contenido y alcance de los derechos fundamentales expresados que han sido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9 de junio de 2011,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13 de octubre de 2011 se acordó tener por personado y parte en el procedimiento al Letrado de la Junta de Andalucía, así como dar vista de las actuaciones a las partes personadas y al Ministerio Fiscal y otorgarse, conforme al art. 52.1 LOTC, un plazo común de veinte días a las partes para que alegaran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de amparo presentó escrito de alegaciones registrado en este Tribunal el 15 de noviembre de 2011, en el que se remitió a los motivos aducidos en su demanda de amparo, poniendo de manifiesto, además, que la Sección que dictó la Sentencia condenatoria objeto de recurso tiene un mayor índice de condenas en materia de delitos contra la ordenación contra el territorio que otras secciones de la Audiencia Provincial de Córdoba.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Letrado de la Junta de Andalucía se evacuó el citado trámite mediante escrito registrado el 17 de noviembre de 2011, en el que se solicitó la desestimación de la demanda de amparo, por no apreciarse la vulneración de derechos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El Ministerio Fiscal, en escrito registrado el 20 de enero de 2012, interesó la inadmisión del recurso de amparo, por no satisfacer el requisito de admisibilidad establecido en los arts. 49 y 50.1 b) LOTC, referido a la justificación de la especial trascendencia constitucional. Argumenta al respecto que la demanda fundamenta la existencia de trascendencia constitucional basándose únicamente en la reiteración del contenido de los derechos fundamentales que se estiman vulnerados; proceder que, siguiendo lo establecido, por ejemplo, en la reciente STC 143/2011, de 26 de septiembre, no satisface la citada carga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solicitó la desestimación de la demanda, ante la inexistencia de las vulneraciones de derechos aducidas. En relación con el primero de los motivos de amparo, afirma el Ministerio Fiscal que, de una parte, no cumpliría con el requisito del agotamiento de la vía judicial, al haberse aquietado el actor con los términos de la providencia de 23 de marzo de 2010, en la que se le pedía al recurrente que manifestara si mantenía el recurso de reforma duplicado o desistía del mismo; y, de otra, la subsanación de la notificación efectuada al Letrado de la Junta de Andalucía no puede entenderse como lesiva del derecho fundamental que se invoca, pues responde a la rigurosa aplicación del art. 11 de la Ley 52/1997,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en segundo lugar, afección alguna del principio acusatorio. En primer lugar, los escritos de acusación incluyen la mención al almacén por cuya construcción es condenado el actor, habiendo sido objeto de debate en el juicio oral. En segundo lugar, carece de relevancia constitucional la incorporación de un nuevo documento tras los escritos de calificación, ya que se dio conocimiento previo a las partes personadas y fue introducido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condena por tipo penal distinto a aquel por el que el recurrente fue acusado, manifiesta el Ministerio público que, a su juicio, ambos delitos pueden considerarse homogéneos; afirma al respecto que, si bien no existe una total coincidencia entre los términos “no autorizada” del art. 319.1 (en su versión vigente al momento de realización de los hechos) y “no autorizable” del art. 319.2 CP, en el caso concreto ambas expresiones son perfectamente parangonables, puesto que la ausencia formal del acto administrativo de la autorización —licencia— siempre se daría en este caso, al tratarse de obras “no autorizables” por estar sometidas a un plan especial de protección. Por lo demás, tal carácter autorizable de la construcción fue objeto de debate en el juicio oral, por lo que pudo defenderse de este aspecto del hecho punible.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igualmente de solidez, según el Ministerio Fiscal, la alegación relativa al derecho a la igualdad en la aplicación de la ley (art. 14 CE), puesto que el citado derecho no ampara la igualdad en la ilegalidad pretendida por el actor. Por último, rechaza la alegación de que la Audiencia haya tomado como base para la desestimación del incidente de nulidad de actuaciones la regulación anterior a la Ley 6/2007, puesto que da cumplida respuesta a las alegaciones sobre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11 de octubre de 2012, se señaló para deliberación y fallo de la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Córdoba de 13 de mayo de 2010 que, revocando la absolución acordada en primera instancia, condenó al recurrente como autor de un delito contra la ordenación del territorio, y contra el Auto de 7 de julio de 2010, que desestima el incidente de nulidad de actuaciones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y a la igualdad en la aplicación de la ley (art. 14 CE), con la argumentación que queda ampliamente expuesta en los antecedentes de esta resolución. El Ministerio Fiscal, por su parte, interesa la inadmisión del recurso, por falta de justificación de la especial trascendencia constitucional [arts. 49 y 50.1 b) de la Ley Orgánica del Tribunal Constitucional (LOTC)]; subsidiariamente, aboga por su desestimación. El Letrado de la Junta de Andalucía propone también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la solicitud efectuada por el Ministerio Fiscal, y con carácter previo al examen de fondo de las quejas aducidas, debemos examinar si procede la inadmisión del recurso de amparo a tenor de lo dispuesto en el art. 50.1 a) LOTC, en relación con el art. 49.1 de la misma Ley Orgánica, por no haber satisfecho el recurrente la carga que le incumbía de justificar la especial trascendencia constitucional del recurso. Tal como hemos puesto de relieve en recientes pronunciamientos, el análisis de esta concreta causa de inadmisión no resulta impedido por el momento procesal en el que nos encontramos, pues es doctrina reiterada de este Tribunal que los defectos insubsanables de que pudiera estar afectado el recurso de amparo no resultan sanados porque la demanda haya sido inicialmente admitida a trámite. Por consiguiente, la comprobación de los presupuestos para la viabilidad del recurso, incluido el que ahora nos ocupa, pueden volverse a abordar o reconsiderarse en la Sentencia, de oficio o a instancia de parte, dando lugar, en su caso, a un pronunciamiento de inadmisión por falta de tales presupuestos, criterio que también rige cuando se trata de la carga de justificación de la especial trascendencia constitucional que corresponde al recurrente (SSTC 69/2011, de 16 de mayo, FJ 2; y 143/2011,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manifestado en las citadas resoluciones, debemos comenzar señalando que conforme a lo dispuesto en el art. 50.1 a) LOTC, el recurso de amparo no puede ser admitido a trámite si el recurrente no cumple —además de los restantes requisitos procesales previstos en los arts. 42 a 44 LOTC— la ineludible exigencia impuesta por el art. 49.1 in fine LOTC de justificar de manera expresa en la demanda de amparo la especial trascendencia constitucional del recurso (AATC 188/2008, de 21 de julio, FJ 1; 289/2008 y 290/2008, ambos de 22 de septiembre, FJ 1). En el mismo sentido, en la STC 155/2009, de 25 de junio, FJ 2, dictada por el Pleno de este Tribunal, se insistió en que el recurrente “ha de satisfacer necesariamente, de acuerdo con lo dispuesto en el art. 49.1 in fine LOTC, la carga de justificar en la demanda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modo en el que se debe dar cumplimiento a la justificación de la especial transcendencia constitucional del recurso, debemos recordar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tal fin, aunque no existe un modelo rígido al que haya de ajustarse la redacción de las demandas de amparo, es claro que debe responder a los cánones propios de este tipo de escritos procesales” (SSTC 17/2011, de 28 de febrero, FJ 2; y 69/2011, de 16 de mayo, FJ 3). Sin perjuicio de lo anterior, se han de tener en cuenta las precisiones que, con relación a esa específica carga, ha ido efectuando este Tribunal a través de diversas resoluciones que despejan las posibles dudas sobre el modo en el que se tiene que hacer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este respecto, no sobra recordar, en primer lugar, que en la STC 155/2009, de 25 de junio —en la que identificamos, sin ánimo exhaustivo, determinados supuestos propiciadores de la apreciación de la “especial trascendencia constitucional”, avanzando en la interpretación del requisito del art. 50.1 b) LOTC—, hemos acotado (FJ 2) el perfil abierto tanto de ese concepto como de los tres criterios que la propia Ley ofrece para su caracterización (“su importancia para la interpretación de la Constitución, para su aplicación o para su general eficacia, y para la determinación del contenido y alcance de los derechos fundamentales”), facilitando a los recurrentes en amparo el cumplimiento de la carga justificativa que les impone el art. 49.1 LOTC (STC 143/2011,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procede enfatizar que, como recuerda la citada STC 69/2011, FJ 3, la carga de justificar la especial trascendencia constitucional del recurso de amparo es algo distinto a razonar la existencia de la vulneración de un derecho fundamental (AATC 188/2008, de 21 de julio, FJ 2; 289/2008, de 22 de septiembre, FJ 2; 290/2008, de 22 de septiembre, FJ 2; 80/2009, de 9 de marzo, FJ 2; y 186/2010, de 29 de noviembre, FJ único) y que, por consiguiente, es necesario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En otras palabras,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(ATC 252/2009, de 19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procedería la inadmisión de la demanda cuando “la recurrente en amparo no trasciende en su razonamiento la mera justificación de la existencia de la lesión subjetiva denunciada, sin justificar en modo alguno la proyección objetiva del amparo solicitado, que traduzca en el plano formal (art. 49.1 LOTC) la exigencia material de la especial trascendencia constitucional del recurso de amparo establecida por el art. 50.1 b) LOTC como requisito de procedibilidad de la demanda” (ATC 264/2009, de 16 de noviembre, FJ único). En coherencia con lo anterior, cabe advertir que a la parte recurrente le es exigible un “esfuerzo argumental” (ATC 154/2010, de 15 de noviembre, FJ 4) que ponga en conexión las vulneraciones constitucionales que alega con los criterios establecidos en el art. 50.1 b) LOTC,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 Sin embargo, no bastará para dar por cumplimentada la carga justificativa, con una simple o abstracta mención en la demanda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(ATC 187/2010, de 29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última consideración se muestra relevante para el análisis que ahora nos atañe. Teniendo en cuenta la centralidad que como pauta orientativa posee la STC 155/2009, este Tribunal ha tomado en consideración la fecha de la interposición de la demanda en relación con la fecha de la publicación, el 28 de julio de 2009, de la STC 155/2009, de 25 de junio, atenuando el rigor en la valoración del cumplimiento de la carga justificativa de la especial trascendencia constitucional en las demandas interpuestas con anterioridad a esa fecha (AATC 4/2010 y 5/2010, ambas de 14 de enero; 69/2011, FJ 3; 143/2011, FJ 2). Ahora bien, ese criterio flexible no puede desvirtuar el requisito, ni puede suponer tampoco una excepción del deber de cumplimiento de la carga justificativa en los supuestos en los que se produce aquel tipo de relación temporal entre la fecha de interposición de la demanda y la de publicación, el 28 de julio de 2009, de la STC 155/2009, de 25 de junio. Por el contrario, determina únicamente —como señaláramos en la STC 69/2011, FJ 3— la modulación del rigor en la valoración de los términos en los que se produjo su cumplimiento en las demandas interpuestas con anterioridad a aquella fecha (STC 143/2011,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el acervo doctrinal acabado de exponer, hemos de dar la razón al Ministerio Fiscal y concluir que la demanda de amparo no contiene una justificación suficiente de su especial trascendencia constitucional conforme exige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junto a la exposición de los antecedentes de hecho, de las vulneraciones de derechos fundamentales que se entienden cometidas y del concreto amparo solicitado, se introduce un apartado específico en los fundamentos jurídicos, referido a la “trascendencia constitucional del recurso”. En él se argumenta que “la trascendencia constitucional de este recurso, aprecia de la propia lectura de los hechos que han dado motivo a plantear el amparo” (sic.), añadiéndose que “de la simple lectura de los hechos segundo y tercero, corroborados sus contenidos por los documentos acompañados, se aprecia la vulneración del principio acusatorio; este principio tiene especial trascendencia constitucional, pues tiene su base en el derecho a la tutela judicial, en el derecho a ser informado de la acusación y en el derecho a un proceso con todas las garantías”; y se concluye el citado apartado afirmando que “en definitiva, del examen de los párrafos anteriores se infiere la especial trascendencia constitucional, pues ha quedado afectada la aplicación de los artículos de la C.E. infringidos, así como el contenido y alcance de los derechos fundamentales expresados que han sido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semejante al enjuiciamiento efectuado en la STC 69/2011, de 16 de mayo, al resolver un supuesto muy similar, en el presente caso se evidencia que el recurrente identifica la especial trascendencia constitucional de su recurso con la lesión misma de los derechos fundamentales, al considerar justificación bastante de aquélla la alegada afección sobre “el contenido y alcance de los derechos fundamentales”; por lo demás, tampoco esa implícita alusión al tenor literal del art. 50.1 b) LOTC puede satisfacer la carga procesal, pues se halla huérfana de toda argumentación adicional que, por ejemplo apelando a las circunstancias descritas en la STC 155/2009, desvinculara los razonamientos del demandante de los que pretenden sostener la vulneración de derechos fundamentales. En definitiva, y sirviéndonos de conclusiones expuestas en la citada STC 69/2011, “esas alegaciones que identifican especial trascendencia constitucional con lesión del derecho fundamental y que, de forma abstracta, se refieren a la relevancia para la eficacia general de la Constitución sin realizar argumentación específica al respecto, no satisfacen, conforme a la doctrina constitucional que antes se ha expuesto, la carga de justificación que la LOTC requiere, toda vez que no permiten comprobar por qué el contenido del recurso merece una decisión de fondo, más allá del interés propio de la reparación de la eventual lesión de derechos fundamentales en ese caso concreto” (FJ 4). Por lo demás, a ello debe añadirse que la demanda de amparo fue presentada en el Registro de este Tribunal el 5 de noviembre de 2010, más de un año después de la publicación en el “Boletín Oficial del Estado” de la STC 155/2009, de 25 de junio, por lo que no puede verse beneficiada de una modulación a la baja en punto al rigor exigible en la carga de justificar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la inadmisión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don Fermín Vioque Ruiz contra la Sentencia de 13 de mayo de 2010 y contra el Auto de 7 de julio de 2010, dictados ambos por la Sección Primera de la Audiencia Provincial de Córdoba.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