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julio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1400-2003, promovido por el Ayuntamiento de Santovenia de Pisuerga (Valladolid), representado por el Procurador de los Tribunales don Roberto Granizo Palomeque, y asistido por el Abogado don Jesús Piquero Álvarez, contra la disposición adicional y los apartados 4 y 5 del artículo único de la Ley de las Cortes de Castilla y León 9/2002, de 10 de julio, sobre declaración de proyectos regionales de infraestructuras de residuos de singular interés para la Comunidad. Ha intervenido la representación letrada de la Junta de Castilla y León.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11 de marzo de 2003, don Roberto Granizo Palomeque, Procurador de los Tribunales y del Municipio de Santovenia de Pisuerga en cuya representación actúa, formalizó conflicto en defensa de la autonomía local, contra la disposición adicional y los apartados cuatro y cinco del artículo único de la Ley 9/2002, de 10 de julio, de la Comunidad Autónoma de Castilla y León (“Boletín Oficial de Castilla y León” de 12 de julio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de interposición justificando la legitimación del Ayuntamiento de Santovenia de Pisuerga para la interposición de dicho conflicto pues los preceptos recurridos tienen como destinatario único al citado Ayuntamiento, cumpliéndose el resto de exigencias para su admisión. Hace también referencia a las incidencias que ha sufrido el proceso de construcción y puesta en funcionamiento de la planta de transferencia y tratamiento de subproductos industriales de Santovenia de Pisuerga, que culminan con la Sentencia firme del Tribunal Supremo de 3 de diciembre de 2001, que anula las licencias de obra y actividad, la clausura de las citadas instalaciones y la posterior aprobación por la disposición adicional de la ley impugnada de la declaración de proyectos de especial interés regional y su inmediata puesta en marcha. Alega el Ayuntamiento que los preceptos impugnados vulneran la autonomía local en los ámbitos materiales del urbanismo y la defensa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imputa a la disposición adicional: a) que la clasificación urbanística como rústicos de protección de infraestructuras de los suelos afectados por las instalaciones de la planta, elimina la competencia para clasificar el suelo a través del planeamiento; b) que el Ayuntamiento no ha participado en el procedimiento administrativo previo; c) que desapodera al Ayuntamiento, en ejecución de lo establecido en el apartado quinto del artículo único, de su competencia para el otorgamiento de licencias urbanísticas y medio ambientales sobre actividades clasificadas. En cuanto al artículo único, se achaca a su apartado cuatro, por remisión de la disposición adicional, que se elimina la competencia del Ayuntamiento para el control ambiental del proyecto, con ignorancia de la legislación básica de régimen local, y de la Ley estatal 16/2002, de 1 de julio, de prevención y control integrado de la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Suplica, en consecuencia, que se declare que la disposición adicional y los apartados cuarto y quinto del art. único de la Ley de las Cortes de Castilla y León 9/2002, de 10 de julio, vulneran la autonomía local del Ayuntamiento de Santovenia de Pisuerga, así como su titularidad para el ejercicio de las competencias a que se ha hecho referencia, en cuanto a la concesión de licencias y medidas de control, inspección y sanción. Solicita, además, el recibimiento a prueba de la documental relativa a las resoluciones judiciales relacionadas en la exposición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julio de 2004, la Sección Primera del Tribunal Constitucional, acordó admitir a trámite el conflicto en defensa de la autonomía local promovido por el citado Ayuntamiento, así como dar traslado de la demanda y documentos presentados a las Cortes y Consejo de Gobierno de la Junta de Castilla y León, así como al Senado y al Congreso de los Diputados y al Gobierno de la Nación, para que puedan personarse en el proceso y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el Tribunal Constitucional el 13 de septiembre de 2004, el Presidente del Senado, actuando en representación de la Cámara alta, se personó en el proceso, y el Presidente del Congreso de los Diputados comunicó el acuerdo de la Mesa de esta Cámara de no personarse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director de los servicios jurídicos de la Comunidad Autónoma de Castilla y León, actuando en la representación que legalmente ostenta, presentó escrito de alegaciones en el Registro General del Tribunal Constitucional, el 13 de septiembre de 2004. Tras recordar que la Comunidad Autónoma tiene competencias en materia de ordenación del territorio, urbanismo y vivienda; que la Ley 10/1998, de ordenación del territorio de Castilla y León, que no fue objeto de recurso alguno, contempla la participación de los municipios a través del correspondiente informe, en el procedimiento administrativo para la aprobación de los proyectos regionales en ella regulados y prevé que la aprobación de los proyectos obliga a la modificación del planeamiento urbanístico. Se descarta la existencia de la vulneración de la autonomía local denunciada por las siguientes razones: En primer lugar, considera que los proyectos regionales declarados al amparo de la Ley 9/2002, no vulneran la autonomía local, porque la intervención municipal a través del otorgamiento de autorizaciones y licencias, se sustituye por su intervención en el procedimiento administrativo previo por la vía del informe. El procedimiento legalmente establecido fue respetado en la tramitación del proyecto aprobado por la disposición adicional. Dicho procedimiento se inició el 11 de abril de 2002, emitiendo su informe el Ayuntamiento de Santovenia de Pisuerga el 7 de mayo de 2002. En segundo lugar entiende que la Ley 9/2002, dictada en el ejercicio de las competencias exclusivas de la Comunidad en materia de ordenación del territorio y de desarrollo de las bases medio ambientales, no solo ha introducido una figura singular de ordenación del territorio, sino que ha modificado la Ley 5/1999, de 8 de abril, de urbanismo de Castilla y León al prever, en estos casos, la aptitud de estos proyectos para la inmediata ejecución de la obra y la actividad, y la Ley 5/1993, de 21 de octubre, de actividades clasificadas (actividades molestas, insalubres y peligrosas). En tercer lugar, considera que la Ley 16/2002, en su art. 29, determina que el procedimiento para la autorización ambiental integrada sustituye al procedimiento para el otorgamiento de la licencia municipal de actividades clasificadas, salvo en lo referente a la resolución definitiva de la autoridad municipal, pero deja a salvo las normas autonómicas aplicables en materia de actividades clasificadas. En consecuencia, la previsión de la ley estatal no tiene carácter básico, ya que deja en manos de las Comunidades Autónomas el establecimiento de las medidas de coordinación de las actividades clasificadas con la licencia ambiental integrada. Por ello, solicita la desestimación íntegra del conflicto planteado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Tribunal Constitucional el 28 de julio de 2004, el Abogado del Estado se personó en el conflicto y manifestó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486/2004, de 30 de noviembre de 2004, el Pleno del Tribunal Constitucional acordó denegar la práctica de la prueba solicitada por la representación procesal del Ayuntamiento de Santovenia de Pisuerga.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julio de 2013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en defensa de la autonomía local, interpuesto por el Ayuntamiento de Santovenia de Pisuerga, se dirige contra la disposición adicional y los apartados 4 y 5 del artículo único de la Ley de las Cortes de Castilla y León 9/2002, de 10 de julio. Entiende el Ayuntamiento recurrente que la disposición adicional vulnera la autonomía local en la medida en que clasifica suelo y elimina la intervención municipal en materia urbanística y medio ambiental, al suprimir la exigencia de licencia de obra y actividades clasificadas como requisito necesario para la puesta en marcha de las instalaciones de Santovenia de Pisuerga. Los apartados cuatro y cinco del artículo único se impugnan por las mismas razones. Por su parte, el Letrado de la Comunidad Autónoma de Castilla y León considera que no hay lesión alguna de la autonomía local en cuanto se ha garantizado la participación del Ayuntamiento afectado en el procedimiento de aprobación del proyecto regional, habiéndose limitado la Comunidad a ejercer las competencias que le son propias con respeto a la legislación estatal básica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debe abordarse la cuestión procesal de la legitimación del Ayuntamiento de Santovenia de Pisuerga para interponer el presente conflicto en defensa de la autonomía local, pues, conforme a lo establecido en el art. 75 ter.1 a) de la Ley Orgánica del Tribunal Constitucional, para poder plantear este tipo de proceso constitucional, el municipio debe ser el destinatario único de la ley a la que se imputa la vulneración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por el municipio son la disposición adicional de la Ley 9/2002, de 10 de julio, que declara proyecto regional de especial interés la planta de transferencia, de tratamiento físico-químico y depósito de seguridad, ubicada en el término municipal de Santovenia de Pisuerga y los apartados 4 y 5 del art. único de la Ley 9/2002, que regula un instrumento de ordenación del territorio, los denominados proyectos regionales de infraestructuras de residuos de singular interés para la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hemos afirmado en la STC 129/2013, de 3 junio, FJ 2, el artículo único contiene una norma de estructura general, tanto por lo indeterminado de sus destinatarios como por la posibilidad de aplicarla de forma reiterada mientras esté vigente. En consecuencia, al no ser el Ayuntamiento de Santovenia de Pisuerga el único destinatario de la regulación contenida en el artículo único, carece de legitimación para la impugnación de los apartados 4 y 5 de este precepto. En consecuencia, el presente proceso constitucional debe ser inadmitido en lo que a respecta a la impugnación del artículo único, apartados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misma Sentencia afirma que la disposición adicional de la Ley 9/2002, de 10 de julio, contiene una ley singular, esto es, una medida tomada por el legislador en atención a un supuesto de hecho concreto que agota su eficacia en la adopción y ejecución de la medida tomada (FJ 3). En este aspecto, debe concluirse que el Ayuntamiento de Santovenia de Pisuerga ostenta legitimación para interponer conflicto en defensa de la autonomía local contra la citada disposición adicional, ya que afecta única y exclusivamente al proyecto de interés regional ubicado en dicho término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la legitimación procesal del Ayuntamiento de Santovenia del Pisuerga para impugnar la disposición adicional de la ley 9/2002, de 10 de julio, hay que advertir que la STC 129/2013, de 3 junio, ha declarado inconstitucional y nula dicha disposición adicional por entender que vulnera el derecho a la tutela judicial efectiva de los derechos e intereses legítimos que consagra el art. 24.1 CE. Una vez expulsada la norma impugnada del ordenamiento jurídico, el presente proceso ha perdido objeto.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conflicto en defensa de la autonomía local interpuesto por el Ayuntamiento de Santovenia de Pisuerga en lo que respecta a los apartados 4 y 5 del artículo único de la Ley de Castilla y León 9/2002, de 10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en el resto ha perdido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