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30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10619-2006, avocado al Pleno, promovido por don Egoitz Coto Etxeandía, representado por el Procurador de los Tribunales don Javier Cuevas Rivas y asistido por el Letrado don Alfonso Zenón Castro, contra la Sentencia de la Sala de lo Penal del Tribunal Supremo de 4 de octubre de 2006 que desestimó el recurso de casación núm. 10203-2006 interpuesto contra la Sentencia de la Sección Segunda de la Sala de lo Penal de la Audiencia Nacional de 30 de noviembre de 2005, dictada en el rollo núm. 30-2003.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noviembre de 2006, el Procurador de los Tribunales don Javier Cuevas Rivas, en nombre y representación de don Egoitz Coto Etxeandía,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en los que tiene su origen el presente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Segunda de la Sala de lo Penal de la Audiencia Nacional dictó Sentencia el 30 de noviembre de 2005 por la que condenó al recurrente, junto a otras cuatro personas, como autor de dos delitos de asesinato terrorista en grado de tentativa, a la pena de diez años de prisión por cada uno, con la accesoria de dieciséis años de inhabilitación absoluta; y, como autor de un delito de daños, a la pena de dos años de prisión con la accesoria de nueve años de inhabilitación absoluta; así como a la responsabilidad civil consiguiente, en favor de las víctimas y entidades perjudicadas por los daños y perjuicios causados; y al abono de las costas procesales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relato de los hechos declarados probados, el recurrente, junto a otros integrantes de un grupo organizado y siguiendo un plan preestablecido en el marco de las acciones de la llamada lucha callejera o “kale borroka”, el día 5 de agosto de 2001, tras inutilizar previamente el alumbrado público, procedieron a lanzar artificios incendiarios contra la sucursal núm. 5 de la entidad bancaria BBK en Portugalete, al objeto de que acudieran funcionarios de la Ertzaintza. Personados dos agentes en un vehículo camuflado, fueron reconocidos por los asaltantes, quienes procedieron a romper los cristales del vehículo policial con numerosos objetos contundentes y lanzaron a su interior “cócteles molotov”, incendiando el vehículo y causando graves quemaduras a los dos agentes que se encontraban en su interior, quienes tuvieron que ser rescatados por otros compañeros que acudieron en su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resultas de dicha acción, uno de los agentes sufrió quemaduras en el 10 por 100 de su cuerpo, que le afectaron a la cara, espalda y brazo izquierdo, quedándole secuelas diversas; el segundo agente sufrió quemaduras en el 30 por 100 de su cuerpo, que le afectaron a la cara, cuello, ambas manos, antebrazos, brazos y espalda, quedándole también importantes secuelas. Se causaron daños en la oficina bancaria y en diversos vehículos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contra la Sentencia, por infracción de precepto constitucional, invocando la lesión de sus derechos a la intimidad (art. 18.1 CE) y a la autodeterminación informativa (art. 18.4 CE), así como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de lo Penal del Tribunal Supremo dictó la Sentencia núm. 949/2006, de 4 de octubre, mediante la que desestimó el recurso de casación presentado por el recurrente, confirmándose así el pronunciamiento condenatorio de instancia respecto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vulneración del derecho a la intimidad personal (art. 18.1 CE) a causa de que el análisis del perfil genético del recurrente fue realizado por la policía autonómica sin ningún tipo de control. Se afirma que esta prueba se realizó tras haber recogido un agente una colilla de cigarrillo arrojada por el recurrente cuando se encontraba detenido por otra causa, confrontándose con los restos genéticos hallados en una prenda utilizada durante la actuación delictiva. Considera que tal análisis, pese a no suponer una intervención corporal, habría precisado de autorización judicial, pues afecta al derecho a la intimidad, al poder revelar datos sensibles e íntimos de la persona, por lo que su práctica debió estar rodeada de esta garantía, para tener así seguridad de que las personas que lo realizan no se exceden en su cometido y evitar abusos o cesión de datos a terceros no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alega el demandante la infracción de la garantía de “autodeterminación informativa” prevista en el art. 18.4 CE, a causa de que la Ertzaintza habría procedido a incluir en una base de datos informatizada el resultado del análisis de las muestras genéticas del recurrente, sin ningún tipo de control administrativo ni de otro orden, sin que se sepa quién o quiénes tienen acceso a tales datos ni quiénes son sus responsables, ni si esos datos personales van a ser utilizados para otros fines o durante cuánto tiempo se conservarán y si podrán ser utilizados en futuros procedimientos penales. Se habría actuado por dicha policía autonómica al margen de la normativa vigente, por lo que estaríamos ante un ataque a la intimidad, por no darse las garantías suficientes y adecuadas en el tratamiento de estos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se aduce la infracción del derecho a la presunción de inocencia (art. 24.2 CE) porque los órganos judiciales habrían apreciado como prueba de cargo el análisis de ADN, que no puede considerarse válida por haberse realizado sin autorización judicial, resultando que todas las demás derivadas de esta prueba también han de reputarse ilícitas por aplicación de lo dispuesto en el art. 11.1 de la Ley Orgánica del Poder Judicial (LOPJ). Además, se da una falta absoluta de intervención judicial en “la toma de muestra indubitada” (colilla arrojada en la celda), siendo así que cuando se quiere que esta diligencia tenga carácter probatorio ha de intervenir un Juez, de forma que con su participación queden precisados el objeto recogido, el lugar donde éste se encontraba y las demás circunstancias necesarias para dejar acreditada la pertenencia a la persona a la que se atribuye. En este caso el análisis se ha practicado sobre muestras biológicas del recurrente obtenidas y conservadas subrepticiamente, no siendo recogidas por un médico forense sino por un policía sin ninguna preparación al respecto. Por otra parte, no se documentó convenientemente la recogida de las muestras, no existiendo la más mínima “cadena de custodia” que demuestre que la evidencia recogida contenga la saliva del recurrente, dándose cuenta al Juez de estas diligencias muy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dice también lesionado el derecho a la presunción de inocencia (art. 24.2 CE) porque, con independencia de la licitud o no de la prueba de ADN, no concurre prueba de cargo suficiente para la condena. Así, este análisis no pasa de ser sino una mera prueba indiciaria, limitándose el órgano judicial en este caso a recoger la coincidencia del perfil genético del imputado con el encontrado en la prenda intervenida, sin darse explicación alguna sobre cómo tal circunstancia avalaría su participación en los hechos probados. Por el contrario, concurren otros elementos probatorios, como las declaraciones prestadas en el juicio oral por algunos testigos, que conducirían a una conclusión contraria, al desprenderse de éstas que la prenda encontrada podría haber estado en el lugar de los hechos con anterioridad o bien podría haber sido utilizada por otra persona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entiende el demandante que se ha producido una violación de su derecho a un proceso con todas las garantías (art. 24.2 CE), por cuanto el recurso de casación interpuesto no ha satisfecho el derecho a la doble instancia en materia penal establecido en el art. 14.5 del Pacto internacional de los derechos civiles y políticos (PIDCP). Dicho recurso no habría supuesto un mecanismo efectivo de control del fallo condenatorio y de la pena impuesta, al no permitir al Tribunal Supremo proceder a una nueva valoración de la prueba y de los hechos declarados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2008 la Sección Cuarta de este Tribunal, de conformidad con lo dispuesto en el art. 50.3 de la Ley Orgánica del Tribunal Constitucional (LOTC) en su redacción anterior a la aprobada por la Ley Orgánica 6/2007, de 24 de mayo, acordó conceder un plazo común de diez días a la parte demandante de amparo y al Ministerio Fiscal para que formularan las alegaciones que estimasen pertinentes acerca de la conveniencia de apreciar la causa de inadmisión prevista en el art. 50.1 c) LOTC, consistente en la carencia manifiesta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cumplimentó el trámite de alegaciones mediante escrito registrado el 18 de noviembre de 2008, en el que sostuvo que el recurso no carecía de contenido constitucional, reiterando en lo sustancial los razonamientos jurídicos ya expresados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del Tribunal el día 3 de diciembre de 2008, el Ministerio Fiscal formuló sus alegaciones, solicitando la inadmisión de la demanda por falta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análisis genético practicado por la policía autonómica sin contar con autorización judicial ni consentimiento del afectado, comienza el Fiscal señalando que desvelar el ADN no codificante a los meros efectos identificativos de una persona para su imputación criminal comporta una injerencia mínima en su derecho a la intimidad, pues todas las personas poseen datos identificativos de público conocimiento y de obligada constatación desde el momento mismo de su nacimiento. No obstante, la ley puede autorizar a la policía judicial la práctica de determinadas inspecciones, reconocimientos e incluso intervenciones corporales leves, señalando el art. 11.1 g) de la Ley Orgánica 2/1986, de 13 de marzo, de fuerzas y cuerpos de seguridad, que éstas, entre otras funciones, tienen la de “investigar los delitos para descubrir y detener a los presuntos culpables, asegurar los instrumentos, efectos y pruebas del delito, poniéndoles a disposición del Juez o Tribunal competente y elaborar los informes técnicos y periciales procedentes”, por lo que, en este caso, el análisis de las muestras biológicas recogidas tiene cobertura legal. Por lo demás, el analizar los restos de un cigarrillo para poder determinar el perfil genético de una persona a los meros efectos identificativos, a fin de compararlo con el perfil genético de personas implicadas en graves hechos delictivos cuya identidad era desconocida, respeta los principios de proporcionalidad y razonabilidad, al no existir otro modo de posible actuación investigadora.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lesión de la libertad informativa del art. 18.4 CE, rechaza el Fiscal que se haya producido, pues el análisis se ha realizado por un organismo público sujeto a una rígida normativa en su funcionamiento y a los mecanismos de control y seguridad normativamente previstos. De otra parte, el fichero en el que se recogen los datos investigados está excluido del régimen de la Ley Orgánica 15/1999, de 13 de diciembre, de protección de datos de carácter personal, a la vista de su art. 2.2 c), al tratarse de la investigación del “terrorismo y otras formas graves de delincuencia organizada”. Así las cosas, los datos archivados se limitan a desvelar los perfiles genéticos pertenecientes a autores de delitos de estas características para proceder a su identificación, concurriendo las notas tanto de necesidad como de adecuación y proporción, pues, dada la forma de actuación delictiva, la identidad de los partícipes en la misma no es susceptible de ser conocida por otros métodos.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toma de las muestras, razona el Ministerio público que parece claro que las colillas arrojadas al suelo por el demandante podían ser recogidas por los funcionarios policiales; es más, dicha recogida, si hubiera sido seguida de su ulterior tratamiento como basura, no sería objetable por el demandante. No sólo esta actuación estaría amparada por el art. 11.1 de la Ley Orgánica 2/1986 y el art. 282.1 de la Ley de enjuiciamiento criminal, que autorizan a la policía judicial a recoger las pruebas de los delitos, sino que también parece razonable que una pronta y cuidadosa recogida de estos restos biológicos, para evitar así riesgos de manipulación y contagio, presenta menos riesgos que una actuación más alejada en el tiempo. Por otra parte, la concurrencia en este caso de la denominada “cadena de custodia” de dichas muestras ha podido ser valorada por los órganos judiciales a través de los testimonios en el juicio oral de los policías intervinientes, tanto de los que recogieron las colillas, como de los que las enviaron al laboratorio y de los peritos que realizaron los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al cuarto motivo, entiende el Fiscal que no se ha producido lesión alguna de la presunción de inocencia, pues la Sentencia condenatoria tuvo por acreditados los hechos en virtud de una pluralidad de pruebas testificales y periciales, extendiéndose en sus razonamientos sobre la coincidencia del perfil genético del recurrente con el hallado en la prenda intervenida. Además, el órgano judicial examinó la prueba de descargo presentada por su defensa, considerándola irrelevante, apareciendo huérfana de todo sustento la afirmación que se hace en la demanda de que otros indicios avalarían una conclusión contraria respecto a la autoría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aprecia el Fiscal una vulneración del derecho a la segunda instancia penal, porque las cuestiones planteadas por el condenado en su recurso de casación (sobre la validez del análisis de ADN, ausencia de prueba de cargo para su condena y otras) han sido examinadas por el Tribunal Supremo, satisfaciéndose así las exigencias del art. 14.5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marzo de 2009 la Sala Segunda de este Tribunal acordó admitir a trámite la demanda y, a tenor de lo dispuesto en el art. 51 LOTC, solicitar a la Sala de lo Penal del Tribunal Supremo y a la Sección Segunda de la Sala de lo Penal de la Audiencia Nacional la remisión de certificación o fotocopia adverada de las actuaciones correspondientes al recurso de casación núm. 10203-2006 y al rollo núm. 30-2003, respectivamente. También se acordó que se procediera al emplazamiento de quienes hubiesen sido parte en el procedimiento, excepto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Habiéndose solicitado, por otrosí en la demanda, la suspensión de la ejecución de la Sentencia condenatoria impugnada, por providencia de 17 de marzo de 2009 la Sala Segunda acordó formar la correspondiente pieza separada de medidas cautelares y, de conformidad con lo previsto en el art. 56.4 LOTC, conceder un plazo común de tres días al Ministerio Fiscal y a la parte recurrente para que alegasen lo que estimaran pertinente en relación con dicha pretensión. El Fiscal presentó sus alegaciones mediante escrito registrado el 2 de abril de 2009, solicitando la denegación de la petición suspensiva. El demandante reiteró su solicitud por escrito de 8 de abril de 2009. Finalmente, la Sala dictó el ATC 139/2009, de 11 de mayo, mediante el que se denegó la suspensión solicitada, tanto en relación a las penas privativas de libertad y sus accesorias, como en orden a los pronunciamientos de contenido patrimonial 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30 de junio de 2009 se acordó, a tenor de lo dispuesto en el art. 52.1 LOTC, dar vista de las actuaciones por un plazo común de veinte días al Ministerio Fiscal y al recurrente en amparo, para que presentaran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cumplimentó este trámite de alegaciones el 15 de julio de 2009, solicitando la denegación del amparo, con base en los razonamientos ya expuestos en su anterior informe. La representación procesal del demandante de amparo presentó escrito, registrado el 1 de septiembre de 2009, en el que se ratifican las alegaciones contenidas en el escrito de demanda y se añaden algunas consideraciones en refuerzo de las anteriores pero sin alterar su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propuesta de la Sala Segunda y de conformidad con lo establecido el art. 10.1 n) LOTC, el Pleno del Tribunal, por providencia de 13 de enero de 2014,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enero de 2014, se acordó señalar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 impugnación en el presente proceso de amparo la Sentencia de la Sección Segunda de la Sala de lo Penal de la Audiencia Nacional de 30 de noviembre de 2005 que condenó al recurrente como autor de dos delitos de asesinato terrorista en grado de tentativa y un delito de daños, así como la Sentencia de la Sala de lo Penal del Tribunal Supremo de 4 de octubre de 2006 que desestimó el recurso de casación formulado contra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atribuye a estas resoluciones la vulneración de su derecho a la intimidad personal (art. 18.1 CE), al haberse realizado por la policía autonómica vasca sin autorización judicial un análisis de muestras biológicas suyas que fue confrontado con el de otras halladas en el lugar de los hechos; al tiempo, se habría infringido el derecho a la “autodeterminación informativa” reconocido en el art. 18.4 CE, por haberse incluido su perfil de ADN en un fichero policial sin respetarse las garantías previstas en el ordenamiento para el tratamiento de este tipo de datos de naturaleza personal. Además, dice haberse infringido el derecho a la presunción de inocencia (art. 24.2 CE) al haberse sustentado su condena en la prueba antes indicada, cuya ilicitud debió privarla de todo valor, dada la ausencia de control judicial y no haberse respetado por la policía la necesaria “cadena de custodia” sobre las muestras biológicas. Se añade que, con independencia de lo dicho, la coincidencia de su perfil genético con el encontrado en la prenda intervenida en el lugar de los hechos no es concluyente de su participación en los mismos, existiendo en las actuaciones otros elementos probatorios que avalan una conclusión contraria. Finalmente, aduce la lesión del derecho a un proceso con todas las garantías (art. 24.2 CE) ya que, a su juicio, el recurso de casación formulado no ha servido como un mecanismo efectivo de revisión de la condena impuesta en los términos exigidos por el art. 14.5 del Pacto internacional de los derechos civiles y políticos (en adelante,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recurso de amparo, pues la injerencia mínima que pueda suponer la realización del análisis genético del recurrente, con finalidad meramente identificativa, estaba permitida legalmente a la policía judicial en el marco de sus obligaciones de investigación del delito, concurriendo en este caso las notas de proporcionalidad y razonabilidad. La libertad informativa tampoco ha sido vulnerada pues el procesamiento de datos fue efectuado por un organismo público con la única finalidad de desvelar los perfiles genéticos de autores de delitos de graves características, estando excluido este fichero del régimen de la Ley Orgánica 15/1999, de 13 de diciembre, de protección de datos de carácter personal. De otro lado, añade que entre las funciones de la policía también está la de recoger las pruebas del delito, en este caso los restos biológicos, pudiendo haber sido comprobada por el Tribunal sentenciador la regularidad de la “cadena de custodia” de las muestras a través de los interrogatorios en el juicio de los funcionarios policiales, concurriendo prueba válida en la que basar la condena del recurrente. Por último, estima que el recurso de casación resuelto por el Tribunal Supremo ha cumplido adecuadamente su función en orden a la revisión de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nuestro habitual criterio de otorgar prioridad al enjuiciamiento de aquellas quejas cuya estimación pudiera conllevar la retroacción de actuaciones (por todas, STC 182/2009, de 7 de septiembre, FJ 3), comenzaremos por la referida a la lesión del derecho a un proceso con todas las garantías (art. 24.2 CE), que, a juicio del demandante, se habría producido como consecuencia de que el recurso de casación formulado no ha supuesto un mecanismo efectivo de revisión de la condena impuesta en los términos exigidos por el art. 14.5 PIDCP, al no haberse realizado por el Tribunal Supremo un nuevo examen crítico del material probatorio aportado.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conviene recordar que este Tribunal Constitucional ha ido conformando un cuerpo de doctrina, fundamentalmente a partir de la STC 70/2002, de 3 de abril, FJ 7, con arreglo a la cual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(en el mismo sentido, SSTC 105/2003, de 2 de junio, FJ 2; 116/2006, de 24 de abril, FJ 5; y 60/2008, de 26 de mayo, FJ 4). Precisando las posibilidades de revisión en sede casacional y, en concreto, la posibilidad de examinar los hechos probados, hemos resaltado que nuestro sistema casacional no se limita al análisis de cuestiones jurídicas y formales, sino que actualmente, a través de la invocación del 24.2 CE (tanto del derecho a un proceso con todas las garantías como, fundamentalmente, del derecho a la presunción de inocencia), es posible que el Tribunal Supremo controle tanto la licitud de la prueba practicada en la que se fundamenta el fallo, como su suficiencia para desvirtuar la presunción de inocencia y la razonabilidad de las inferencias realizadas (STC 116/2006, de 24 de abril, FJ 5). Por tanto, el recurrente “tiene abierta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la valoración de la prueba” (STC 136/2006,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Sala de lo Penal del Tribunal Supremo, luego de justificar ampliamente en su Sentencia la validez y eficacia de la prueba de ADN practicada (fundamentos jurídicos 2 a 4), pone de relieve que la inferencia realizada por la Audiencia Nacional sobre la participación del acusado no es irrazonable y responde a las reglas de la experiencia, “contrastando el valor incriminatorio de los análisis de ADN con las pruebas testificales de descargo presentadas por las defensas, explicitando de forma racional y lógica por qué no les concede suficiente credibilidad, a la vez que refiere el resto de las pruebas que confirman su convicción” (fundamento jurídico 7), añadiendo que la falta de explicación alternativa de cómo pudieron aparecer aquellas huellas genéticas puede ser valorada por la Sala para reforzar su convicción (mismo fundamento jurídico 7). Posteriormente, el Tribunal de casación, con ocasión de perfilar el carácter de la acción perpetrada, procede a una ponderación de las declaraciones de los funcionarios policiales que sufrieron el atentado y de los testigos que lo presenciaron, concluyendo que la conducta del recurrente se enmarcó en un ataque colectivo dentro de las acciones denominadas como “kale borroka”, en el que todos los condenados intervinieron en el acuerdo previo y ostentaron dominio funcional del hecho (fundamento jurídico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Supremo ha procedido a una revisión de la Sentencia condenatoria en términos constitucionalmente adecuados a las exigencias del art. 24.2 CE, interpretado a la luz del art. 14.5 PIDCP, realizando un análisis detallado de la prueba practicada, para concluir que no se había producido ningún error de valoración y que las inferencias realizadas en la instancia eran conformes a las reglas de la lógica y de la experiencia, no incurriendo en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segunda queja formulada por el recurrente es la referida a la vulneración de su derecho a la intimidad (art. 18.1 CE) como consecuencia de haber procedido la policía autonómica vasca, sin su consentimiento ni autorización judicial, a extraer el ADN de muestras biológicas obtenidas de cigarrillos arrojados por él en el calabozo donde se hallaba detenido por otros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199/2013, de 5 de diciembre, tras recordar la doctrina de este Tribunal en relación con el derecho a la intimidad, con particular atención a las resoluciones dictadas en materia de intervenciones o reconocimientos corporales (SSTC 207/1996, de 16 de diciembre; 196/2004, de 15 de noviembre; 25/2005, de 14 de febrero; y 206/2007, de 24 de septiembre), así como a determinados pronunciamientos del Tribunal Europeo de Derechos Humanos que ponen de manifiesto que el derecho a la vida privada resulta ya comprometido por la mera conservación y almacenamiento de muestras biológicas y perfiles de ADN (STEDH de 4 de diciembre de 2008, caso S. y Marper c. Reino Unido; y decisión de inadmisión de 7 de diciembre de 2006, caso Van der Velden c. Países Bajos), concluimos que el análisis de la muestra biológica del demandante de amparo supone una injerencia en el derecho a la privacidad por los riesgos potenciales que de tal análisis pudieran derivarse (FJ 6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afirmada la existencia de injerencia en la vida privada, el Tribunal Europeo de Derechos Humanos sitúa la cuestión en la justificación de la medida en términos compatibles con el Convenio europeo para la protección de los derechos humanos y de las libertades fundamentales (CEDH). Y así, en la primera de las resoluciones citadas, al abordar el estudio de la existencia de un fin legítimo que justificase la injerencia apreciada, el Tribunal Europeo se ocupa de remarcar oportunamente la diferencia existente entre el supuesto abordado —conservación de muestras biológicas y perfiles de ADN para la identificación de los autores de futuros hechos delictivos— de aquellos otros casos en los cuales “la extracción inicial está destinada a vincular a una persona determinada con un delito concreto que se sospecha que ha cometido” (§ 100). El reproche del Tribunal Europeo de Derechos Humanos se dirige a la conservación indefinida por las autoridades policiales de muestras biológicas y perfiles de ADN de personas no condenadas con la finalidad de identificar a los autores de futuros hechos delictivos, pero no a la identificación de los autores de hechos delictivos a través del contraste del ADN obtenido a partir de muestras biológicas del sospechoso “con vestigios anteriores conservados en la base de datos” (§ 116). La censura se realiza, por tanto, a la conservación de los datos personales, pues el Tribunal Europeo de Derechos Humanos afirma que “se ha de considerar que el mero hecho de que las autoridades públicas conserven o memoricen datos de carácter personal, cualquiera que sea la manera en la que hayan sido obtenidos, tiene unas consecuencias directas en la vida privada de la persona afectada, tanto si se utilizan o no estos datos posteriormente” (§ 119). A su vez, en la decisión de inadmisión anteriormente citada el Tribunal Europeo de Derechos Humanos consideró que la injerencia en el derecho a la vida privada, prevista legalmente, resulta razonable en atención a que se impone a los condenados por delitos de cierta gravedad y que, a la postre, podría incluso beneficiarles al favorecer su exclusión de una eventual lista de sospechosos.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nuestra parte, en las SSTC 70/2002, de 3 de abril, FJ 10; 89/2006, de 27 de marzo, FJ 3; y 207/1996, de 16 de diciembre, FJ 4, señalamos que los requisitos que proporcionan una justificación constitucional objetiva y razonable a la injerencia en el derecho a la intimidad son los siguientes: la existencia de un fin constitucionalmente legítimo; que la medida limitativa del derecho esté prevista en la ley (principio de legalidad); que como regla general se acuerde mediante una resolución judicial motivada (si bien reconociendo que debido a la falta de reserva constitucional a favor del Juez, la ley puede autorizar a la policía judicial la práctica de inspecciones, reconocimientos e incluso de intervenciones corporales leves, siempre y cuando se respeten los principios de proporcionalidad y razonabilidad) y, finalmente, la estricta observancia del principio de proporcionalidad, concretado, a su vez, en las tres siguientes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(STC 199/2013, de 5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la exigencia de que la medida que supone una injerencia en el derecho a la intimidad esté orientada a la consecución de un fin constitucionalmente legítimo, “ya hemos dejado constancia de que el Tribunal Europeo de Derechos Humanos ha considerado legítima la práctica de estos análisis cuando está destinada a vincular a una persona determinada con un delito concreto que se sospecha que ha cometido (STEDH de 4 de diciembre de 2008, caso S. y Marper c. el Reino Unido, § 100)” (STC 199/2013, de 5 de diciembre, FJ 8). En el caso analizado la prueba pericial de obtención del ADN no codificante, que no permite la obtención de otros datos que los meramente identificativos, se produjo con la finalidad de ser comparado con los restos hallados en una prenda utilizada en la realización del hecho delictivo, teniendo como único objeto la averiguación de la persona que había utilizado la mencionada prenda en la perpetración de aquél, de muy intensa gravedad, como son los dos delitos de asesinato terrorista en grado de tentativa y otro de daños, por lo que no cabe duda alguna de la concurrencia de un fin legítimo en la medida adoptada por la policía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cobertura legal de las diligencias periciales practicadas por la policía judicial, hemos de partir, como hace la STC 199/2013, de 5 de diciembre, FJ 9, de que habiendo ocurrido los hechos antes de la reforma llevada a cabo por la Ley Orgánica 15/2003, de 25 de noviembre, aquélla cobertura se encuentra en los arts. 282 y 363 de la Ley de enjuiciamiento criminal y en el art. 11.1 de la Ley Orgánica 2/1986, de 13 de marzo, de fuerzas y cuerpos de seguridad, en cuanto, de una parte, se trata de uno de los informes técnicos y periciales a los que se refiere el apartado g); de otra, su práctica se acomoda con naturalidad a la finalidad para la que las atribuciones policiales son conferidas por el legislador, esto es, para la averiguación de los delitos y la puesta a disposición judicial de sus presuntos autores; y, finalmente, porque la menor intensidad de la injerencia en el derecho fundamental, a la que luego nos referiremos, admite una relativa relajación de las exigencias de taxatividad en la norma que presta cobertura a aquella exigida por el Convenio europeo para la protección de los derechos humanos y de las libertades fundamentales. Así lo hemos afirmado, con cita de la STEDH en el caso Sociedad Plon contra Francia, de 18 de mayo de 2004, en nuestra STC 34/2010, de 19 de julio, con respecto a la menor injerencia que supone el carácter temporal de las medidas cautelares limitativas de un derecho fundamental (en el caso, los reconocidos en el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necesidad de autorización judicial, concluimos en la repetida STC 199/2013, de 5 de diciembre, que aun cuando el análisis de ADN efectuado no fuera ordenado judicialmente, no se lesionó el derecho del demandante a la intimidad personal, por las siguientes razones, expresadas en su fundamento jurídico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la escasa, cuando no nula, incidencia material en la intimidad personal del demandante, que habría consistido en el riesgo de que el análisis de ADN fuese más allá de la mera identificación neutra, dada la naturaleza meramente identificativa del perfil genético obtenido a partir de los sectores no codificantes del ADN. En ningún momento de la demanda se explicita información alguna que haya sido revelada a través del análisis identificativo practicado que haya comprometido o pudiera comprometer la intimidad del demandante. Se pone así en evidencia que la lesión contra la que se pretende reaccionar derivaría de la conservación y utilización futura de perfiles del ADN obtenido a partir de la muestra tomada, pero no de la comparación neutral y exclusivamente identificativa del perfil de ADN del demandante con el extraído de los vestigios del delito investigado. De este modo, aun cuando cabe admitir que el peligro de futuros usos desviados del perfil de ADN del demandante podría eventualmente constituir una injerencia en la intimidad personal por el mero riesgo, huelga ahora realizar toda consideración al respecto en el seno de un proceso de amparo como éste en la medida en que no es el supuesto concretamente analizado. Tal es también el presupuesto del que parte la reciente Sentencia del Tribunal Supremo de los Estados Unidos en el caso Maryland v. King, de 3 de junio de 2013 (identificación del autor de un delito de violación a partir del análisis del ADN de quien fue detenido como sospechoso de otro delito grave posterior) al afirmar taxativamente que los marcadores utilizados para la identificación del ADN “están situados en partes no codificantes del ADN que no revelan las características genéticas del detenido. Si bien la ciencia siempre puede avanzar y esos progresos pueden llegar a tener trascendencia desde la perspectiva de la cuarta enmienda, los alelos en los marcadores CODIS no suministran actualmente otra información que la relativa a la identidad del sujeto.” En definitiva, la limitada incidencia que el análisis de ADN que se pretendía realizar y efectivamente se llevó a cabo tuvo en el derecho a la intimidad del demandante tolera en el caso concretamente analizado la omisión de la autorización judicial en un ámbito en el que, como hemos ya advertido, no constituye una exigencia constitucional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la actuación pericial, al ceñirse a las regiones de ADN no codificante, se ajustó a los estándares proporcionados por la normativa nacional e internacional reguladora del uso forense del ADN, con lo que se asegura que no se va más allá de la identificación neutral del sujeto. Tal normativa estaba constituida a la sazón por la Resolución del Consejo, de 25 de junio de 2001, relativa al intercambio de resultados de análisis de ADN (2001/C 187/01) —actualizada luego por la Resolución del Consejo de 30 de noviembre de 2009—, por la cual se insta a los Estados miembros a que limiten los resultados de análisis de ADN a las zonas cromosómicas que no contengan ningún factor de expresión de información genética, es decir, a las zonas cromosómicas que no contengan información sobre características hereditarias específicas. En el correspondiente anexo se especifican y enumeran los marcadores de ADN respecto de los que no se tiene constancia de que contengan información sobre características hereditarias específicas, recomendando a los Estados miembros que estén vigilantes a los avances científicos y preparados para borrar los resultados de análisis de ADN si dichos resultados contienen información sobre características hereditarias específicas. En el ámbito internacional, el Tratado entre el Reino de Bélgica, la República Federal de Alemania, el Reino de España, la República Francesa, el Gran Ducado de Luxemburgo, el Reino de los Países Bajos y la República de Austria relativo a la profundización de la cooperación transfronteriza, en particular en materia de lucha contra el terrorismo, la delincuencia transfronteriza y la migración ilegal, hecho en Prüm el 27 de mayo de 2005 (“BOE” núm. 307, de 25 de diciembre de 2006), obliga a los Estados parte a servirse “exclusivamente de perfiles de ADN obtenidos a partir de la parte no codificante del ADN”.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porque, aun cuando el análisis jurídico de las cuestiones suscitadas exige un estudio individualizado de las distintas fases de la actuación policial controvertida, no puede desconocerse que las circunstancias concretas del caso, consideradas en su globalidad, requerían una actuación urgente. Así, la eventual eficacia probatoria de los restos biológicos contenidos en el cigarrillo requería su rápida recogida, su urgente remisión a los laboratorios adecuados para su conservación y su pronto análisis, evitando todo riesgo de degradación de la muestra, contribuyendo a asegurar la cadena de custodia y minorando las posibilidades de contaminación de la muestra mediante el tratamiento de la misma siguiendo los protocolos ordinarios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porque el conjunto normativo entonces vigente, a diferencia de lo que ocurre con otros derechos fundamentales respecto de los que la Constitución y la Ley de enjuiciamiento criminal sí exigen resolución judicial que autorice las injerencias en los mismos (arts. 18.2 y 3, y 20.5 CE), no prevé expresamente la intervención judicial con carácter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porque la merma del control judicial que podría haberse derivado de la falta de autorización judicial se vio desvanecida por la aportación al proceso del resultado del análisis comparativo realizado tan pronto como estuvo disponible, momento a partir del cual la autoridad judicial se encontraba en disposición de realizar por sí el juicio de ponderación sobre la diligencia pericial efectuada, así como de acordar la práctica de un nuevo análisis o de completar el ya realizado, bien por propia iniciativa o bien a solicitud de la representación procesal del demandante de amparo. A diferencia de lo que acontece con pruebas irrepetibles, como las intervenciones telefónicas, el carácter pericial de la diligencia practicada y la disponibilidad de las muestras a analizar hacen que la pericia pueda no sólo ser sometida a debate en cuanto a sus conclusiones, sino que incluso pudiera ser reiterada con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respeto al principio de proporcionalidad de la medida enjuiciada exige, tal como ya hemos avanzado, constatar que la medida adoptada sea susceptible de conseguir el objetivo propuesto (juicio de idoneidad); necesaria, en el sentido de que no exista otra medida más moderada para la consecución de tal propósito con igual eficacia (juicio de necesidad); y, finalmente, que sea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conduce a afirmar el respeto al principio de proporcionalidad en la realización del análisis de ADN del demandante de amparo toda vez que: i) su comparación con el obtenido a partir del resto biológico hallado resultaba un medio adecuado para revelar la identidad de este último (idoneidad); ii) no existía un medio alternativo para comprobar si el demandante había participado o no en los hechos delictivos enjuiciados (necesidad); y, finalmente, iii) el modo en el que el análisis del ADN se practicó fue el menos invasivo de la intimidad personal en cuanto sólo afectó a las regiones no codificantes del ADN, esto es, a aquellas que tan sólo proporcionan datos identificativos mediante un análisis comparativo con el ADN obtenido a partir de otra muestra, excluyéndose por ello la revelación o puesta de manifiesto de toda característica personal que afectase a la intimidad personal. Es decir, la injerencia en el derecho fundamental consistió en el riesgo de comprometer la intimidad personal del demandante de amparo, riesgo que no llegó a materializarse (STC 199/2013, de 5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estrecha relación con la queja que acabamos de examinar, se alega por el demandante la infracción del derecho de “autodeterminación informativa” previsto en el art. 18.4 CE, a causa de que la Ertzaintza habría procedido a incluir en una base de datos informatizada el resultado del análisis de las muestras genéticas, sin ningún tipo de control administrativo ni de otro orden, y sin que se conozca quiénes tienen acceso a tales datos ni quiénes son sus responsables, así como tampoco si esos datos personales van a ser utilizados para otros fines, durante cuánto tiempo se conservarán y si podrán ser utilizados en futuros procedimientos penales. A su juicio, la policía autonómica actuó al margen de la normativa vigente, por lo que estaríamos ante un ataque a la intimidad, al no darse las garantías suficientes y adecuadas en el tratamiento de estos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ya repetida STC 199/2013, de 5 de diciembre, FJ 12, tras recordar la doctrina contenida en la STC 292/2000, de 30 de noviembre, en relación con el derecho a la protección de datos, hemos afirmado que no cabe duda acerca de que el perfil de ADN obtenido a partir de una muestra biológica identifica a la persona, pero que no puede decirse que en el indicado perfil genético (el obtenido con efecto identificativo neutral) se incorporen otro tipo de datos que puedan contribuir a configurar un perfil o caracterización de la persona en sus aspectos “ideológico, racial, sexual, económico o de cualquier otra índole, o que sirvan para cualquier otra utilidad que en determinadas circunstancias constituya una amenaza para el individuo” (STC 292/2000, de 30 de noviembre, FJ 6), que es el ámbito de protección dispensada por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 de resaltarse que la identificación del demandante de amparo no se produjo como consecuencia de la incorporación de su perfil genético identificativo a una base de datos de personas sospechosas, sino que derivó de su comparación con los perfiles de ADN correspondientes a personas desconocidas que habían sido obtenidos a partir de muestras biológicas halladas en vestigios de otros hechos delictivos. De modo que de haberse producido la incorporación de sus datos se trataría de una actuación sin incidencia en el acto del poder público frente al que se demanda en amparo. Por lo demás nada impediría al demandante reaccionar contra esta pretendida e hipotética conservación de su perfil de ADN solicitando la eliminación del perfil de la base de datos a la que afirma que se incorporaron, lo que no consta haberse efectuado, de suerte que la lesión denunciada no sólo se construye sobre hechos no acreditados cumplidamente sino que tampoco se habrían agotado los remedios disponibles para lograr su reparación, primero ante la Administración y luego, en su caso, ante la jurisdicción ordinaria, en términos semejantes a los acontecidos en caso resuelto en la STEDH de 4 de diciembre de 2008, caso S. y Marper c. el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ya hemos señalado que la obtención de los caracteres identificativos del demandante a partir del análisis de los sectores no codificantes de su ADN se produjo para una finalidad constitucionalmente legítima, como es la investigación de graves delitos relacionados con actividad de violencia callejera. Pues bien, “el derecho a la protección de datos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 (STC 292/2000, de 30 de noviembre, FJ 11, con remisión a las SSTC 11/1981, de 8 de abril, FJ 7; 196/1987, de 11 de diciembre, FJ 6; y respecto del art. 18, a la STC 110/1984, de 26 de noviembre, FJ 5). Pero es que tampoco consta que el perfil haya sido utilizado para una finalidad distinta de aquella para la que se obtuvo, ni que haya sido objeto de cesión o tratamiento distinto de aquél para el que se obtuvo.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 por las razones ya expuestas, la queja referida a la infracción del derecho a la presunción de inocencia (art. 24.2 CE) que la demanda sustenta en que los órganos judiciales hubiesen apreciado como prueba de cargo el análisis de ADN realizado sin autorización judicial, debemos descartar también que el mencionado derecho a la presunción de inocencia haya resultado infringido por falta de intervención judicial en el momento de la toma de los restos biológicos contenidos en el cigarrillo (por las razones expuestas en relación con la innecesariedad de la autorización judicial para la realización del análisis) o por falta de preservación de la denominada cadena de custodia de la muestra biológica obtenida, esto es, el aseguramiento de que la muestra recogida fue la misma que sirvió para el análisis comparativo posteriormente efectuado con el perfil de ADN obtenido a partir de la prenda recogida en el lugar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a como hemos apreciado en la STC 199/2013, de 5 de diciembre, FJ 4 c), debemos ahora consignar que la cuestión fue abordada en la Sentencia de la Audiencia Nacional que condenó al recurrente, alcanzando la conclusión de que no existía duda acerca de la identidad de las muestras analizadas, en consideración al contenido de las declaraciones efectuadas en el juicio oral por los policías que las recogieron, quienes dieron explicaciones sobre los protocolos y métodos de obtención, de las clases de análisis que se efectuaron, de su conservación, y de cómo adoptaron las medidas oportunas para evitar la contaminación de los objetos que contenían las muestras biológicas, ratificándose en las actuaciones que constaban en autos y sometiéndose tanto a las preguntas de la acusación como de la defensa. Se trata, por tanto, de una cuestión de hecho que no puede ser objeto de pronunciamiento por parte de este Tribunal [art. 44.1 b) de la Ley Orgánica del Tribunal Constitucional] más que respecto a la regularidad y suficiencia de los medios de prueba que condujeron a dar por acreditado el hecho. En todo caso, el dato al que se refiere la prueba no es estrictamente el hecho delictivo, sino un aspecto parcial de uno de los medios de prueba, siendo doctrina asentada del Tribunal (STC 126/2011, de 18 de julio, FJ 22, entre otras)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también en relación con el derecho a la presunción de inocencia (art. 24.2 CE), aduce el demandante que, con independencia de su queja sobre la ilicitud de la prueba de ADN, no existe prueba de cargo suficiente para la condena, pues, a su juicio, concurren otros elementos probatorios, como las declaraciones prestadas en el juicio oral por algunos testigos, que conducirían a una conclusión contraria a la alcanzada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queja debemos partir de que, como recuerda la STC 70/2010, de 18 de octubre,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De este modo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las dos vertientes en que se desdobla en la demanda el motivo de amparo basado en la vulneración del derecho a la presunción de inocencia (art. 24.2 CE), ya hemos rechazado, con lo afirmado en los fundamentos jurídicos precedentes, la primera de ellas, referida a la utilización de prueba ilícita. Tal como hemos expuesto, el análisis de muestras biológicas del demandante ha sido practicado respetando las exigencias constitucionales y sin lesión de los derechos a la intimidad (art. 18.1 CE) y a la autodeterminación informativa (art. 18.4 CE), por lo que su utilización como prueba no constituye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la segunda vertiente de la queja, referida a irrazonabilidad de la inferencia a partir de la cual los órganos judiciales concluyen la culpabilidad del recurrente, es preciso traer a colación, brevemente, la doctrina de este Tribunal según la cual, a falta de prueba directa de cargo, también la prueba indiciaria puede sustentar un pronunciamiento condenatorio sin menoscabo del derecho a la presunción de inocencia, siempre que: los hechos bases o indicios estén plenamente probados; los hechos constitutivos del delito se deduzcan precisamente de estos hechos bases completamente probados; se pueda controlar la razonabilidad de la inferencia, para lo que es preciso, en primer lugar, que el órgano judicial exteriorice los hechos que están acreditados, o indicios, y, sobre todo que explique el razonamiento o engarce lógico entre los hechos base y los hechos consecuencia; y, finalmente, que este razonamiento esté asentado en las reglas del criterio humano o de la experiencia común (SSTC 300/2005, de 21 de noviembre, FJ 3; 111/2008, de 22 de septiembre, FJ 3; y 70/2010,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partiendo de “la radical falta de competencia de esta jurisdicción de amparo para la valoración de la actividad probatoria practicada en un proceso penal y para la evaluación de dicha valoración conforme a criterios de calidad o de oportunidad” (SSTC 137/2005, de 23 de mayo, FJ 2, y 111/2008, de 22 de septiembre, FJ 3), sólo cabe considerar vulnerado el derecho a la presunción de inocencia en este ámbito de enjuiciamiento cuando “la inferencia sea ilógica o tan abierta que en su seno quepa tal pluralidad de conclusiones alternativas que ninguna de ellas pueda darse por probada” (SSTC 229/2003, de 18 de diciembre, FJ 4; 111/2008, de 22 de septiembre, FJ 3; 109/2009, de 11 de mayo, FJ 3; y 70/2010,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podemos anticipar ya la desestimación del presente motivo de amparo, que ofrece semejanza con el resuelto en la STC 135/2003, de 30 de junio, en la que apreciamos que la existencia de un indicio plenamente acreditado (la presencia de huellas dactilares en el lugar de la acción delictiva) unido a la futilidad del relato alternativo ofrecido por el recurrente, permitía inferir, conforme a las reglas de la lógica, su participación en los hechos, descartando que la conclusión del Tribunal sentenciador fuera excesivamente abierta o indeterminada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acontece también en el presente caso, en el que para estimar acreditada la participación en los hechos del demandante, los órganos judiciales tomaron en consideración la aparición de su huella genética en el lugar de los hechos, debiéndose considerar que la prueba de ADN es prueba directa, y no mero indicio, de que se produjo contacto directo del recurrente con la prenda hallada en la escena delictiva, a partir de lo cual y ante la mera negativa del demandante acerca de su presencia en el lugar cuando ocurrió la acción delictiva, la inferencia de los órganos judiciales de la participación del recurrente en el atentado terrorista se presenta como una conclusión plenamente ajustada a las reglas de la lógica y de la experiencia. Precisamente, en relación con este último elemento hemos afirmado en ocasiones precedentes que si bien la inexistencia o la inconsistencia del relato alternativo no puede sustituir la ausencia de prueba de cargo, so pena de asumir el riesgo de invertir la carga de la prueba, sí puede servir como contraindicio o como elemento de corroboración de los indicios a partir de los cuales se infiere la culpabilidad (por todas, SSTC 142/2009, de 15 de junio, FJ 6; y 128/2011, de 18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otro juicio compete a este Tribunal, pues conviene recordar, de un lado,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interpuesto por don Egoitz Coto Etxeandía.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10619-2006 avocado al Pleno,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debo manifestar mi discrepancia con el fallo y con la fundamentación jurídica de la Sentencia dictada, pese a que como ponente de la presente Sentencia y, en dicha condición, recojo en ella la opinión mayoritaria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mi discrepancia me remito a los argumentos expuestos en el Voto particular que formulé a la STC 199/2013, de 5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enero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Andrés Ollero Tassara respecto a la Sentencia del Pleno de fecha 30 de enero de 2014 dictada en el recurso de amparo avocado núm. 10619-2006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dejo constancia de mi opinión discrepante, puesta ya de manifiesto durante la deliberación de la Sentencia, tanto respecto de la fundamentación jurídica como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los hechos enjuiciados en la Sentencia recurrida en amparo merecen el más drástico reproche y generaron sin duda notable alarma social, con las obligadas consecuencias en el plano de la legalidad penal, lamento constatar que desde el plano constitucional se aprecian circunstancias similares a las que me llevaron a formular Voto particular en relación a la reciente Sentencia 199/2013, de 5 diciembre, lo que me obliga a aplicar en el presente caso argumentación idéntica a la entonces expuesta, a la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enero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