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7 de enero de 2011, don Javier Cuevas Rivas, Procurador de los Tribunales y de doña Inmaculada Pacho Martín, interpuso recurso de amparo contra Auto de 12 de noviembre de 2010, de la Sección Segunda de la Sala de lo Penal de la Audiencia Nacional, que desestima el recurso de súplica planteado frente al Auto de 28 de septiembre de 2010, por el que se aprobó el licenciamiento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Acordada la admisión a trámite por la Sala Primera de este Tribunal mediante providencia de 26 de marzo de 2012, mediante diligencia de ordenación de 23 de octubre de 2013, se solicitó a la Audiencia Nacional que comunicara a este Tribunal cualquier resolución o incidencia procedimental que, a resulta de la STEDH de 21 de octubre de 2013, pudieran afectar a la situación del recurrente de amparo. Remitido por la Audiencia Nacional el Auto de 26 de noviembre de 2013 por el que se acordó la puesta en libertad de la recurrente, la Sala, por providencia de 16 de diciembre de 2013, acordó conceder un plazo de cinco días a las partes personadas para que, en virtud del art. 84 de la Ley Orgánica del Tribunal Constitucional, alegaran lo que estimaran conveniente sobre la perdida de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presentó alegaciones mediante escrito registrado el 13 de enero de 2014, en el que consideró que existía pérdida sobrevenida de objeto del recurso de amparo al haberse producido, tras la admisión de la demanda, la reparación por la Audiencia Nacional de la lesión del derecho a la libertad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 Estado, por escrito de 19 de diciembre de 2013 consideró que procede declarar la pérdida sobrevenida de objeto en el presente recurso. El Ministerio Fiscal mediante escrito de 16 de enero de 2014, tampoco se opuso a tal declaración.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y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por lo que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los autos se desprende que por Auto de la Sección Segunda de la Sala de lo Penal de la Audiencia Nacional de 26 de noviembre de 2013 se resolvió hacer extensiva la aplicación de la STEDH de 21 de octubre de 2013 por la similitud existente con las pretensiones del demandante de amparo. Y en consecuencia tomar como referencia el tope máximo de treinta años, para, a partir de él, hacer los descuentos que correspondan por redenciones, y acordar la libertad de la recurrente. En dicho Auto se acordó la inmediata puesta en libertad y se declararon extinguidas las responsabilidades penales.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reconocía que las redenciones debían ser abonadas del tope máximo de treinta años. Precisamente esa fue la pretensión que el demandante sostuvo en su recurso de amparo. Habiéndose reconocido como fecha de extinción de su condena el 11 de marzo de 2008 y procedido a la puesta en libertad del demandante, de conformidad con lo dispuesto en los arts. 80 y 86.1 de la Ley Orgánica del Tribunal Constitucional (LOTC), en relación con el art. 22 de la Ley de enjuiciamiento civil, procede declarar la perdida de objeto del presente recurso, en tanto que la continuación del proceso no satisface ningún interés, al haberse dejado sin efecto el acto lesivo reconociéndose como fecha de extinción de su condena —como pretendía el demandante a lo largo del procedimiento previo al amparo y mantiene en el presente recurso— el 11 de marzo de 2008, sin que conste que dicha resolución haya sido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