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135</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julio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1824-2015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1824-2015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 los siguientes apartados del art. 1 de la Ley 2/2014, de 20 de junio, de modificación de la Ley 2/2003, de 30 de enero, de vivienda de Canarias y de medidas para garantizar el derecho a la vivienda: uno (por cuanto modifica el art. 1.2 de la Ley 2/2003); cuatro [por cuanto modifica el art. 4 g) de la Ley 2/2003]; Seis [por cuanto modifica el art. 8.l), m) y n) de la Ley 2/2003]; siete (por cuanto añade un nuevo art. 18.8 en la Ley 2/2003); veintitrés (por cuanto añade un nuevo art. 77 bis en la Ley 2/2003); veinticuatro [por cuanto modifica el art. 78 f) de la Ley 2/2003], veintiséis (por cuanto modifica el título VIII de la Ley 2/2003, arts. 80 a 98) y veintisiete [por cuanto añade los nuevos arts. 106 i) y 99 e) en la Ley 2/2003], así como de las disposiciones adicionales segunda y cuarta de la mencionada Ley 2/2014, de 20 de junio.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27 de marzo de 2015 tuvo entrada en el Registro General del Tribunal Constitucional, un escrito del Abogado del Estado, actuando en la representación que legalmente ostenta, interponiendo recurso de inconstitucionalidad contra los siguientes apartados del art. 1 de la Ley 2/2014, de 20 de junio, de modificación de la Ley 2/2003, de 30 de enero, de vivienda de Canarias y de medidas para garantizar el derecho a la vivienda: 1 (por cuanto modifica el art. 1.2 de la Ley 2/2003); 4 [por cuanto modifica el art. 4 g)] de la Ley 2/2003); 6 [por cuanto modifica el art. 8.l), m) y n) de la Ley 2/2003]; 7 (por cuanto añade un nuevo art. 18.8 en la Ley 2/2003); 23 (por cuanto añade un nuevo art. 77 bis en la Ley 2/2003); 24 [por cuanto modifica el art. 78 f) de la Ley 2/2003], 26 (por cuanto modifica el título VIII de la Ley 2/2003, arts. 80 a 98) y 27 [por cuanto añade los nuevos arts. 106 i) y 99 e) en la Ley 2/2003], así como contra las disposiciones adicionales segunda y cuarta de la mencionada Ley 2/2014, de 20 de junio. Hace invocación expresa del art. 161.2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Sucintamente expuestas, las alegaciones en las que se basa la demanda son las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Argumenta el Abogado del Estado, en primer lugar, que se afecta a la regulación del derecho de propiedad, concretamente, a su función social, en cuanto que la disposición impugnada contempla el deber de uso habitacional efectivo y establece consecuencias sancionadoras y expropiatorias para los propietarios de las viviendas libres no destinadas efectivamente al uso habitacional. Esta competencia, sin embargo, corresponde al Estado ex arts. 149.1.1 y 8 CE, ambos en relación con el art. 33 de la norma fundamental. Invoca, en segundo lugar, la vulneración de los arts. 25.1 y 9.3 CE, al establecer un régimen sancionador de carácter objetivo, sin tener en cuenta el principio de culpabilidad ni las razones que pueden justificar la desocupación de la vivienda. Considera, en tercer lugar, que el régimen sancionador, así como la causa expropiandi que la norma impugnada contempla, para cuando no se destinan las viviendas al uso habitacional vulneran el art. 14 CE, en cuanto que sólo están previstos para el supuesto en que la propiedad corresponde a una entidad de crédito. Alega, además, la infracción del principio de proporcionalidad al existir actuaciones alternativas más proporcionadas para hacer frente a la situación de necesidad a la que se refiere el preámbulo de la norma impugnada, sin que se trate de medidas indispensables ni necesarias, y sin que se cumpla el test de proporcionalidad en sentido estricto. Hace, finalmente, alusión a la vulneración de las competencias que atribuyen al Estado los apartados 11 y 13 del art. 149.1 CE, por cuanto las disposiciones impugnadas interfieren y afectan negativamente a la política económica y al sistema bancario y crediticio y ponen en peligro diversos bienes jurídicos, lo que se predica de toda la norma impugnada y, en especial, de la disposición adicional cuarta, y se apoya en los informes del Banco de España y de la Sociedad de gestión de activos procedentes de la reestructuración bancaria (SAREB) que se adjuntan con la demanda. Suplica, en consecuencia, la declaración de inconstitucionalidad de los preceptos mencionados.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14 de abril de 2015, el Pleno del Tribunal Constitucional acordó admitir a trámite el recurso de inconstitucionalidad promovido por el Presidente del Gobierno, contra los apartados del artículo 1 citados en el encabezamiento y las disposiciones adicionales segunda y cuarta de la Ley 2/2014, de 20 de junio, de modificación de la Ley 2/2003, de 30 de enero, de vivienda de Canarias y de medidas para garantizar el derecho a la vivienda; dar traslado de la demanda y documentos para personación y alegaciones al Congreso de los Diputados, al Senado, y al Gobierno y Parlamento de Canarias; tener por invocado el art. 161.2 CE que produce la suspensión y publicar la incoación del recurso en el “Boletín Oficial del Estado” y en el “Boletín Oficial de Canarias”.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sendos escritos registrados en el Tribunal Constitucional el 22 y 23 de abril de 2015, los Presidentes del Senado y Congreso comunicaron los acuerdos de las Mesas de sus respectivas Cámaras de personarse en el procedimiento ofreciendo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Directora General del Servicio jurídico del Gobierno de Canarias, actuando en la representación que legalmente ostenta, se personó en este proceso constitucional el 27 de abril de 2015, solicitando una prórroga del plazo concedido para formular alegaciones, prórroga que fue acordada por el Pleno del Tribunal Constitucional mediante providencia de 28 de abril del mismo año.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 del Parlamento de Canarias presentó sus alegaciones en el Tribunal Constitucional el 6 de mayo de 2015. En el escrito formulado al efecto concluye suplicando la declaración de constitucionalidad de los preceptos impugnados. En otrosí pide el levantamiento anticipado de la suspensión de la vigencia de los mencionados preceptos. Sucintamente expuestos, sus argumentos son los siguientes. La Ley autonómica pretende dar satisfacción al mandato del art. 47 CE dada la situación de crisis y las dificultades económicas relacionadas con la mala situación que atraviesan las familias y las dificultades de acceso a la financiación para su compra. Este precepto no consagra un derecho fundamental, pero ello no lo convierte en una previsión programática, ya que impone a los poderes públicos una obligación de actuar para el logro de dicha finalidad. Es más, este precepto puede actuar como límite a otros derechos fundamentales, y constituye el soporte material de otros derechos constitucionales. El fundamento competencial de la Ley parcialmente impugnada se encuentra en el art. 30.15 del Estatuto de Autonomía de Canarias que le atribuye competencias en materia de urbanismo y vivienda. El ejercicio de esta competencia se complementa con las ejercidas por el Estado. El deber de ocupar la vivienda se acomoda a lo previsto en la Ley 8/2013, de 26 de junio, de rehabilitación, regeneración y renovación urbanas (art. 3), encaja en las necesidades expuestas en el preámbulo de la Ley 4/2013, de 4 de junio, de flexibilización y fomento de alquiler de viviendas, y responde a las medidas adoptadas en países de nuestro entorno.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Ley integra el destino habitacional en los deberes inherentes al derecho de propiedad de la vivienda cuyo incumplimiento conlleva consecuencias sancionadoras y expropiatorias, previsión que encaja de lleno en la competencia autonómica a raíz de lo afirmado en la STC 37/1987, de 26 de marzo, sobre la Ley de reforma agraria de Andalucía, y la STC 186/1993, de 7 de junio, dictada en relación con la Ley de la dehesa de Extremadura, que no tiene otro límite que el respeto al contenido esencial de la propiedad, límite que no se ignora en este caso pues no somete a la propiedad a limitaciones exorbitantes que la desnaturalicen. Tampoco vulnera las condiciones básicas establecidas por el Estado ex art. 149.1.1 CE, competencia ésta que no supone la delimitación del contenido esencial del derecho de propiedad, sino la determinación de sus condiciones básicas, sin que sea posible un diseño acabado del mismo [STC 61/1997, de 20 de marzo, FJ 7 a)]. No incide tampoco en la competencia que asiste al Estado ex art. 149.1.8 CE, pues la delimitación del derecho de propiedad no se produce necesariamente por la legislación civil sino que corresponde al legislador sectorial, estatal o autonómico.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Rechaza también que la ley vulnere los arts. 25 y 9.3 CE en relación con el régimen sancionador, no sólo porque el fundamentar la declaración de vivienda deshabitada en indicios no es contrario al principio de presunción de inocencia, pues la convicción judicial de un proceso puede formarse sobre este tipo de prueba siempre que los indicios estén plenamente probados y no se trate de meras sospechas, y se explicite el razonamiento según el cual se llega a la conclusión que se ha producido la conducta infractora. Tampoco existe una responsabilidad objetiva en cuanto que la resolución que declara la vivienda deshabitada se dicta tras un procedimiento contradictorio en el que pueden proponerse pruebas y la propia ley se refiere a la negativa a colaborar con la Consejería cuando no se desprenda la existencia de una causa que pueda justificar que la vivienda está deshabitada.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se infringe la prohibición de arbitrariedad del art. 9.3 CE porque los preceptos impugnados persiguen asegurar el derecho a una vivienda digna y se orientan desde parámetros de proporcionalidad, incluyendo la previsión de medidas sancionadoras aplicables a las personas jurídicas que no den a las viviendas el uso habitacional que integra la función social de este derecho. Lo mismo señala en relación con el art. 14 CE que no se ve vulnerado al no existir identidad entre los supuestos fácticos a contemplar. El fin de la vivienda en el caso de las personas jurídicas no es satisfacer el derecho a la vivienda digna, sino que responde a un interés especulativo o al mantenimiento del valor contable de la inversión. El trato diferenciado responde al distinto alcance del potencial económico y social de las personas jurídicas entidades de crédito frente a las personas físicas, lo que justifica que las medidas dirigidas a las personas físicas sean de fomento, mientras que las diseñadas para las personas jurídicas sea de otro tipo. Se respeta así mismo el principio de proporcionalidad. Los preceptos impugnados son respetuosos con el contenido esencial del derecho de propiedad, son medidas idóneas para responder a la finalidad legítima pretendida cual es la de hacer efectivo el art. 47 CE, haciendo frente a un parque de viviendas vacías y situaciones potenciales de exclusión social; son necesarias habida cuenta de la insuficiencia que han demostrado las adoptadas por el Estado y son proporcionales en sentido estricto por cuanto debe prevalece la defensa del interés general derivado de la efectividad del derecho a la vivienda frente a los demás bienes jurídicos que pueden verse afectados. Finalmente, en lo que atañe a la vulneración de las competencias estatales del art. 149.1.11 y 13 CE por la regulación de la causa expropiatoria considera que las alegaciones del Estado son voluntaristas, pues los daños o incidencia en el sistema no han sido cuantificados en los informes que aporta junto con la demanda, reiterando, además, los argumentos vertidos en los votos particulares formulados al ATC 69/2014, a los que hay que añadir que el parque de viviendas que podrían estar afectadas en Canarias no supera el 2,94 por 100 del total, sin que se pueda determinar cuántas de ellas pertenecen a personas físicas o jurídicas.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22 de mayo de 2015 presentó sus alegaciones la Directora General del Servicio jurídico del Gobierno de Canarias, actuando en representación de este último. Tras destacar la relación existente entre esta Ley y el mandato contenido en el art. 47 CE, pasa a contestar las alegaciones de la demanda. La regulación del contenido del derecho de propiedad privada de la vivienda que establece la Ley impugnada no queda desnaturalizado con la Ley impugnada, permanecen intactas las facultades dominicales y se procede a la expropiación del uso con las garantías establecidas en el art. 33.3 CE. De acuerdo con la doctrina constitucional, el art. 33 CE no habilita para una regulación uniforme de la propiedad privada y su función social. Al Estado corresponde establecer el contenido básico y primario del derecho de propiedad en cuanto afecte a sus condiciones básicas, pero no la regulación de cualesquiera condiciones que afecten al derecho. La Comunidad Autónoma de Canarias ostenta competencia en materia de vivienda, por lo que puede regular normas atinentes a la propiedad de la vivienda con el respeto a lo establecido en el art. 149.1.1 y 8 CE. La Comunidad Autónoma no ha vulnerado el principio de igualdad por contar con un régimen legal distinto de la propiedad de la vivienda respecto al establecido en otras partes del territorio nacional pues, conforme a la STC 186/1993, que recuerda a su vez la STC 37/1987, la igualdad requiere la de las posiciones jurídicas fundamentales, pero no una absoluta identidad de las mismas, así como la STC 37/1987 estableció el alcance del título del art. 149.1.8 CE que no comprendía la función de delimitación del contenido de cada propiedad. Tampoco se vulnera el art. 25 CE. La Ley establece un procedimiento para la declaración de vivienda desocupada y tipifica como infracción el incumplimiento del deber legal de las personas jurídicas de destinarlas a un uso habitacional efectivo tras un procedimiento contradictorio en el que se justifique el motivo por el que se mantiene desocupada, bastando para eludir la infracción, que se acredite que la vivienda se ha puesto a disposición del mercado inmobiliario para que pueda estar arrendada y que no está ocupada por causas ajenas a su voluntad, sin que se exija que se arriende a cualquier precio o se ceda su uso gratuitamente. Aunque el deber de destinar la vivienda al uso habitacional efectivo se impone a todos los propietarios, la Ley otorga un tratamiento distinto a las personas jurídicas que no aparece proscrito por el art. 14 CE, basta con que no se funde en alguna de las interdicciones previstas en este precepto, responda a objetivos constitucionalmente válidos, que la distinción se articule en términos adecuados a esa finalidad y que sus consecuencias jurídicas sean proporcionadas a este fin. Sólo se impone una sanción a los titulares por el incumplimiento del destino habitacional efectivo de las viviendas a las personas jurídicas a las que se les supone un potencial social y económico diferente al de las personas físicas, estándose pues ante un tratamiento desigual de los desiguales. Corresponde a la Comunidad Autónoma la competencia exclusiva en materia de vivienda por lo que a ella corresponde fijar la causa expropiandi así como los fines de interés público que se pretenden satisfacer en función de la política de vivienda elegida, habiéndose respetado las garantías procedimentales y patrimoniales previstas por la legislación estatal. El Consejo de Estado no opuso reparo alguno a la regulación de la expropiación del derecho de uso contemplado en el Decreto-ley andaluz, lo cual es trasladable a este supuesto tanto más cuanto la disposición adicional cuarta especifica que los deudores hipotecarios a quienes no resulte de aplicación las medidas contenidas en la legislación estatal de protección de los deudores hipotecarios, podrán acogerse a ella, con lo que se descarta que el legislador canario haya pretendido, siquiera por vía indirecta, interferir en las normas del Estado, dado el carácter subsidiario de esta medida. Finalmente, en relación con el art. 149.1.13 CE recuerda que no puede convertirse en un título tan expansivo que vacíe de competencias a las Comunidades Autónomas, cuando por otra parte, el peligro a una de las líneas de actuación abordadas por el Estado, a saber, la reestructuración del sistema financiero y la estabilidad de las entidades de crédito, es puramente potencial, siendo, por tanto, la demanda sustentada en este título meramente preventiva. Así lo demuestra el informe del Banco de España aportado junto con la demanda en el que esta entidad reconoce que es difícil realizar una valoración cuantitativa de las medidas que la Ley autonómica contempla sobre el sector financiero y la consecución de los objetivos objeto de seguimiento por las autoridades europeas. Estos temores no son bastantes para eliminar el reparto constitucional de competencias. En cuanto al informe elaborado por la SAREB que se limita a expresar su temor sobre los efectos adversos que podría ocasionar la aplicación de las medidas contempladas en la Ley canaria, cabe señalar que desconoce que las sanciones sólo podrán ser impuestas tras la tramitación del correspondiente expediente en que la entidad podrá justificar en qué medida su actividad le hace difícil cumplir los deberes que se le imponen, tanto en relación con la obligación de colaboración, como con las sanciones que se podrían imponer en relación con la vivienda deshabitada, que es capaz de cuantificar el impacto económico de las citadas medidas.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25 de mayo de 2015, el Pleno del Tribunal Constitucional acordó unir a los autos los escritos de alegaciones presentados por el Parlamento y Gobierno de Canarias, y oír a las partes personadas para que expongan lo que estimen procedente sobre el levantamiento o mantenimiento de la suspensión solicitada por el Parlamento de Canarias.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2 de junio de 2015 presentó sus alegaciones en este incidente cautelar el Abogado del Estado. Alega graves e irreparables perjuicios derivados del levantamiento de la suspensión que acredita a partir del informe de la Secretaría General Técnica del Ministerio de Economía y Competitividad que se aporta, junto con los informes del Banco de España y la SAREB, previamente adjuntados a la demanda. Estos perjuicios se resumen en los siguientes: (i) afectación directa a la SAREB cuyo éxito es garantía de la reestructuración de las entidades de crédito; (ii) incremento de los costes de reestructuración asumidos por el Estado sin añadir mayor protección a los deudores hipotecarios. Cita, asimismo, los AATC 69/2014, y 115/2014 recaídos en relación a disposiciones autonómicas de Navarra y Andalucía, de contenido muy similar a la Ley aquí impugnada, en los que este Tribunal acordó el mantenimiento de la suspensión. Y recuerda finalmente, a sabiendas de que no es relevante para la decisión que ahora ha de adoptarse, la sentencia del Tribunal Constitucional de 14 de mayo de 2015, recaída en el recurso del Gobierno contra el Decreto-ley 6/2013, de 9 de abril, de Andalucía. Alega que los intereses de los particulares afectados en orden a decidir sobre el levantamiento o mantenimiento de la suspensión ya han sido protegidos por la norma estatal, en concreto el Real Decreto-ley 1/2015, de 27 de febrero, de mecanismo de segunda oportunidad, mientras que la Ley impugnada podría comportar un aumento del riesgo asumido por las entidades en los créditos que podría conllevar la exigencia de mayores primas de riesgo para la concesión de préstamos hipotecarios en el futuro para compensar pérdidas esperadas mayores, lo que afectaría a las familias con mayor riesgo de exclusión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los daños para el sistema financiero se consideran tales, en primer lugar, el riesgo de incumplimiento de los compromisos de nuestro país de carácter internacional —memorando de entendimiento— habiendo destacado la Comisión Europea el potencial impacto negativo de iniciativas autonómicas de protección de deudores hipotecarios para las actividades de la SAREB, tanto de forma directa (sanciones por viviendas desocupadas), como indirectas (aumento de incertidumbre). En segundo lugar, las inquietudes manifestadas por las autoridades internacionales se consideran tales por el Banco de España que señala algunos de los aspectos más preocupantes de la Ley. En cuanto a las medidas destinadas a los desahucios, se pone de manifiesto que la coexistencia de dos regímenes, uno de ellos basado en la suspensión de los procedimientos ejecutivos, el otro en medidas coercitivas (sanción o expropiación), hace previsible que surjan conflictos de aplicación que pongan en riesgo tanto la seguridad jurídica como la finalidad de protección por ellas perseguida, aun cuando la Ley canaria establece la cautela de su aplicación subsidiaria de la del Estado. Sólo una única norma garantizaría la aplicación coherente de las medidas de protección de los deudores, criterio acogido, señala el Abogado del Estado, en la STC de 14 de mayo de 2015. Los efectos de estas medidas sobre la SAREB y el desarrollo de su plan de negocio en lo que afecta en concreto a las medidas 17 y 15, relativas a la eliminación inmediata de activos problemáticos de sus balances, y gestión de los activos para realizar su valor a largo plazo, consistentes en la preparación de un plan de largo alcance y un marco legislativo para el establecimiento y funcionamiento de la entidad de gestión de activos, y adopción de normas para que esté operativa antes de noviembre de 2012. Desde este punto de vista, la Ley canaria incide directamente sobre este instrumento de reestructuración pudiendo incrementar el coste económico de las medidas estatales. Finalmente en cuanto al impacto potencial en el sector bancario de las medidas consistentes en la expropiación del uso de las viviendas en favor de los ejecutados en condiciones de exclusión, no se cuentan con indicadores cuantitativos del impacto de la medida, pero cualitativamente se produciría un incremento del riesgo de las entidades en los créditos ya concedidos con impacto negativo en la estabilidad financiera, podría tener impacto en las emisiones de cédulas hipotecarias y otros valores garantizados por préstamos hipotecarios debido al deterioro de la calidad de la garantía subyacente, con el consiguiente posible descenso en la cotización de los títulos, un incremento de los costes de financiación de las entidades y un incremento de las dificultades de refinanciación de los títulos según van venciendo. Asimismo se producirá mayor coste derivado del cumplimiento de las obligaciones de información y comunicación de datos.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informe de la SAREB, prosigue, pone de manifiesto que la Ley impugnada puede conllevar la distorsión parcialmente intensa del mercado de crédito e incluso de la evolución de los sectores financiero e inmobiliario y de los programas para su saneamiento con el correspondiente menoscabo de la competencia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todo ello hay que añadir, aún, en opinión del Abogado del Estado, el riesgo de generalización de las medidas adoptadas al resto de Comunidades Autónomas.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Las alegaciones de la Directora General del Servicio jurídico del Gobierno de Canarias fueron registradas en el Tribunal Constitucional el 2 de junio de 2015. En ellas hace suyas las consideraciones vertidas en el voto particular de los AATC 69/2014, de 10 de marzo, y 115/2014, de 8 de abril, haciendo hincapié en que la STC de 14 de mayo no ha declarado inconstitucionales todas las medidas adoptadas por el Decreto-ley 6/2013 de Andalucía. En cuanto a los perjuicios que derivarían del levantamiento de la suspensión, tras recordar la presunción de validez de la norma autonómica y reproducir íntegramente su exposición de motivos, recuerda que esta norma no afecta a la estatal en cuanto a la expropiación del derecho de uso de las viviendas en favor de los ejecutados en condiciones de exclusión social, pues esta contempla expresamente su aplicación subsidiaria. Por el contrario, de mantenerse la suspensión se estaría menoscabando el interés público que subyace en el ejercicio por la Comunidad Autónoma de su competencia. En concreto se impediría la elaboración del registro de viviendas deshabitadas que puede proporcionar una información útil para la comprobación o seguimiento de las viviendas vacías y permitiría atender las necesidades de familias con amenaza de desahucio, y las medidas de fomento. Perjudicaría, además, a quienes habiendo sido ejecutados, podrían permanecer en las viviendas en las que son deudores hipotecarios. Los informes aportados por el Abogado del Estado no acreditan, en fin, la existencia de perjuicios de imposible o difícil reparación. Se trata de simples temores hipotéticos, pero no daños acreditados que contrastan incluso con el informe de estabilidad financiera 11/2014 del Banco de España.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10 de junio de 2015 tuvo entrada en el Registro General del Tribunal Constitucional un escrito del Letrado del Parlamento de Canarias, en que suplica el levantamiento de la suspensión. Tras exponer los criterios que tiene en cuenta la doctrina constitucional a los efectos de resolver este incidente, alega que la Abogacía del Estado no ha acreditado los daños que se irrogarían por el levantamiento de la suspensión, haciendo suyos los argumentos expuestos en el voto particular del ATC 69/2014, que transcribe parcialmente. Añade, por otra parte, que las ejecuciones hipotecarias en Canarias entre 2008 y 2013 (datos del Consejo General del Poder Judicial) sólo afectan al 5,5 del total estatal de ejecuciones hipotecarias. Que de acuerdo con el Instituto Nacional de Estadística el stock de viviendas vacías representa un 2,94 por 100 del total nacional sin que existan datos sobre la propiedad de personas jurídicas o físicas de las mismas. Ello indica la limitada incidencia potencial de la Ley canaria impugnada, lo que priva de credibilidad al argumento del Abogado del Estado. A ello hay aún que añadir, que la expropiación del derecho de uso no se contempla con carácter general, sino para un colectivo muy limitado, que el levantamiento de la suspensión permitiría a las personas que se encuentran en riesgo de exclusión social beneficiarse de sus medidas, mientras que su mantenimiento conllevaría un perjuicio irreparable para las familias que deben abandonar su domicilios por impago de las cuotas de sus hipotecas, cuando los perjuicios que hubieran sufrido las entidades financieras serían compensables económicamente.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trata en este incidente cautelar de resolver el mantenimiento o levantamiento de la suspensión de la vigencia de los siguientes apartados del art. 1 de la Ley 2/2014, de 20 de junio, de modificación de la Ley 2/2003, de 30 de enero, de vivienda de Canarias y de medidas para garantizar el derecho a la vivienda: 1 (por cuanto modifica el art. 1.2 de la Ley 2/2003); 4 [por cuanto modifica el art. 4 g) de la Ley 2/2003]; 6 [por cuanto modifica el art. 8.l), m) y n) de la Ley 2/2003]; 7 (por cuanto añade un nuevo art. 18.8 en la Ley 2/2003); 23 (por cuanto añade un nuevo art. 77 bis en la Ley 2/2003); 24 [por cuanto modifica el art. 78 f) de la Ley 2/2003], 26 (por cuanto modifica el título VIII de la Ley 2/2003, arts. 80 a 98) y 27 [por cuanto añade los nuevos arts. 106 i) y 99 e) en la Ley 2/2003], así como de las disposiciones adicionales segunda y cuarta de la mencionada Ley 2/2014, de 20 de junio, todos ellos impugnados en el recurso de inconstitucionalidad 1824-2015, interpuesto por el Presidente del Gobierno contra esta ley autonómica, con invocación de los arts. 161.2 CE y 30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suplica el mantenimiento de la suspensión. Sus alegaciones, recogidas de forma pormenorizada en los antecedentes, son sustancialmente coincidentes con las expuestas en los dos incidentes cautelares que fueron resueltos por este Tribunal con el mantenimiento de la suspensión de los preceptos impugnados de dos Leyes autonómicas. En concreto, de la Ley 24/2013, de 2 de julio, de Navarra, de medidas urgentes para garantizar el derecho a la vivienda, y de la Ley 4/2013, de 1 de octubre, de la Comunidad Autónoma de Andalucía, de medidas para asegurar el cumplimiento de la función social de la vivienda (AATC 69/ 2014, de 10 de marzo, y 115/2014, de 8 de abril, respectivamente). El propio Abogado del Estado trae a colación los Autos recién citados en apoyo de su pretensión. Por su parte, tanto el Parlamento como el Gobierno de Canarias suplican el levantamiento de la suspensión, entre otros, por los argumentos vertidos en el voto particular a ambos Autos, que hacen suyos.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preceptos ahora impugnados imponen a los propietarios de viviendas el deber de destinarlas de forma efectiva al uso habitacional, cuyo incumplimiento se tipifica como infracción cuando la propiedad corresponda a personas jurídicas; contemplan entre las competencias de la Administración, la definición y ejercicio de acciones tendentes a evitar la existencia de viviendas vacías mediante la declaración, inspección y sanción, competencias que se atribuyen al Instituto Canario de la Vivienda; asigna los recursos obtenidos por el ejercicio de la potestad sancionadora a sufragar las expropiaciones de uso en los procedimientos de desahucio por ejecución hipotecaria; regula las viviendas deshabitadas y el procedimiento para su declaración; la tramitación electrónica del procedimiento de declaración de vivienda deshabitada, y, finalmente , la declaración de interés social a efectos de expropiación forzosa de la cobertura de necesidad de vivienda de personas en especiales circunstancias de emergencia social. Esto es, su contenido es muy similar al de las Leyes autonómicas antes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resolución que ahora debemos adoptar sólo puede ser el resultado de ponderar, de un lado, los perjuicios reales y efectivos asociados al levantamiento de la suspensión, y, de otro, la presunción de constitucionalidad de que gozan las normas legales y los menoscabos de intereses públicos y privados consecuencia de su mantenimiento, dejando a un lado cualquier consideración sobre el fondo de la inconstitucionalidad denunciada.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quiera que los daños y perjuicios ahora invocados por el Abogado del Estado son los mismos que se pusieron de manifiesto y valoraron los AATC 69/2014, de 10 de marzo, y 115/2014, de 8 de abril, y similares, también, los menoscabos de intereses públicos y privados derivados de la inaplicación de la norma autonómica, sin que las partes hayan traído a colación nuevos elementos entonces no considerados, el resultado de nuestra ponderación debe ser el mismo que entonces. En consecuencia, debe mantenerse la suspensión de los preceptos impugnados por las razones ya expuestas, que son, de forma muy sucinta, las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Existe un perjuicio cierto para el interés general que subyace en el buen funcionamiento y estabilidad del sistema financiero en su conjunto, pues aunque en términos cuantitativamente reducidos, producen un menoscabo para la estabilidad, de manera que puede ponerse en riesgo la reestructuración bancaria apoyada con dinero público y el cumplimiento por España de sus compromisos internacionales, debiéndose tener en cuenta, además, que a la presente Ley deben sumarse las dos Leyes autonómicas anteriormente mencionadas. Este riesgo ha quedado acreditado con los informes relativos a la tercera y quinta revisión del programa de asistencia financiera para la recapitalización de las instituciones financieras en España, y con el informe del Banco de España cuyos datos no han sido desacreditados por los letrados autonómicos que se han limitado a afirmar que se trata de meras suposiciones. El valor probatorio del primero reside en que la Comisión Europea, el Banco Central Europeo y el Fondo Monetario Internacional han participado en su elaboración siendo estas entidades especializadas en la materia e independientes de las partes, la misma independencia y especialización que se predica del Banco de España (ATC 69/2014, FFJJ 5, 6 y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Asimismo se produciría un daño para la seguridad jurídica derivado, no de que las actuaciones de la Administración de la Comunidad Autónoma puedan quedar en entredicho si la resolución si la resolución de fondo fuera favorable al Estado, sino de la mera convivencia sobre una misma realidad material de regímenes jurídicos dispares (ATC 69/2014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Los perjuicios derivados de la suspensión y consistentes en el menoscabo del interés público al que responde la norma autonómica, esto es, la garantía del derecho a la vivienda y el interés privado de los colectivos más vulnerables que se verían beneficiados, resultan notoriamente reducidos porque el Estado también ha dispuesto normas que atienden a estos mismos intereses (ATC 69/2014, FJ 9).</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 los siguientes apartados del art. 1 de la Ley 2/2014, de 20 de junio, de modificación de la Ley 2/2003, de 30 de enero, de vivienda de Canarias y de medidas para garantizar el derecho a la vivienda: uno (por cuanto modifica el art. 1.2 de la Ley 2/2003); cuatro [por cuanto modifica el art. 4 g) de la Ley 2/2003]; Seis [por cuanto modifica el art. 8.l), m) y n) de la Ley 2/2003]; siete (por cuanto añade un nuevo art. 18.8 en la Ley 2/2003); veintitrés (por cuanto añade un nuevo art. 77 bis en la Ley 2/2003); veinticuatro [por cuanto modifica el art. 78 f) de la Ley 2/2003], veintiséis (por cuanto modifica el título VIII de la Ley 2/2003, arts. 80 a 98) y veintisiete [por cuanto añade los nuevos arts. 106 i) y 99 e) en la Ley 2/2003], así como de las disposiciones adicionales segunda y cuarta de la mencionada Ley 2/2014, de 20 de junio.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julio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formulan las Magistradas doña Adela Asua Batarrita, doña Encarnación Roca Trías, y los Magistrados don Fernando Valdés Dal-Re y don Juan Antonio Xiol Ríos, al Auto de 21 de julio de 2015, dictado en el incidente de suspensión del recurso de inconstitucionalidad núm. 1824-2015</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todo el respeto que nos merece la opinión de la mayoría, debemos manifestar nuestra discrepancia con la suspensión de los preceptos de la Ley 2/2014, de 20 de junio, de modificación de la Ley 2/2003, de 30 de enero, impugnados en este proceso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Los artículos cuestionados de la Ley Canaria 2/2014, de 20 de junio, guardan un sustancial parecido con los preceptos, también recurridos ante este Tribunal, de la Ley Foral 10/2010, de 10 de mayo, de derecho a la vivienda en Navarra y de la Ley 4/2013, de 1 de octubre, de la Comunidad Autónoma de Andalucía, de medidas para asegurar el cumplimiento de la función social de la vivienda.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Los intereses que podrían verse afectados por el levantamiento de la suspensión de la Ley autonómica que, en este incidente, alega el Abogado del Estado son exactamente los mismos que expuso en los incidentes de suspensión que dieron lugar a los AATC 69/ 2014, de 10 de marzo, y 115/2014, de 8 de abril.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consecuencia, por las mismas razones que pusimos de manifiesto en los Votos particulares que suscribimos en ambos casos y a las que ahora nos remitimos, creemos que no ha quedado acreditado que la inmediata aplicación de la Ley 2/2014, de 20 de junio, pueda acarrear más daño al interés general que el derivado de la contradicción denunciada con la legislación estatal. Ello no es, sin duda, razón suficiente para enervar la presunción de validez de las disposiciones legales autonómicas. De ahí que el Auto del que discrepamos debiera haber acordado el levantamiento de la suspensión.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veintiuno de julio de dos mil quince.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