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Sección Segunda de la Audiencia Provincial de Murcia recurrida, única y exclusivamente en cuanto a la imposición de la pena de prisión de dos años y de la pena accesoria de inhabilitación especial para el ejercicio del derecho de sufragio pasivo durante el tiempo de la condena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septiembre de 2018, tuvo entrada en el registro general de este Tribunal Constitucional un escrito del procurador don Valentín Ganuza Ferreo, actuando en representación de don Francisco Benavente Romero, por el que interpuso recurso de amparo contra la sentencia de la Sección Segunda de la Audiencia Provincial de Murcia, de 17 de mayo de 2017, que condenó al recurrente a diversas penas y obligaciones dinerarias, y contra el auto de la Sala Segunda del Tribunal Supremo, de 12 de abril de 2018, que inadmitió a trámite el recurso de casación promovido contra aquella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17 de mayo de 2017, la Audiencia Provincial de Murcia, Sección Segunda, dictó sentencia en única instancia (procedimiento abreviado núm. 44-2015) cuya parte dispositiva dispuso: “Que debemos condenar y condenamos a Francisco Benavente Romero como autor criminalmente responsable de un delito de estafa impropia del artículo 251.2 del Código Penal, sin la concurrencia de circunstancias modificativas, a la pena de dos años de prisión, accesoria legal de inhabilitación especial para el ejercicio del derecho de sufragio pasivo durante el tiempo de condena, con expresa condena en costas procesales con inclusión de las de la acusación particular, condenándole como le condenamos a que indemnice a Santiago Ramírez Benavente en la suma de 77.000 € más los intereses dispuestos en el artículo 576 de la LEC, con expresa condena en costas procesales con inclusión de las de la acusación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por la defensa recurso de casación articulado en siete motivos, alegando en algunos de ellos la vulneración de los derechos fundamentales a la tutela judicial efectiva (art. 24.1 CE) y a un proceso con todas las garantías (art. 24.2 CE), la Sala Segunda del Tribunal Supremo dictó auto el 12 de abril de 2018 (recurso núm. 2993-2017), conteniendo la dispositiva siguiente: “la Sala acuerda: no haber lugar a la admisión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alegó las siguientes quejas: (i) en primer lugar, la vulneración del “derecho a un proceso con todas las garantías” (art. 24.2 CE), dado que “la grabación reproducida en el acto del juicio oral no constituye una prueba legalmente practicada y constitucionalmente obtenida, no siendo, por tanto, prueba de cargo válida, eficaz y suficiente para enervar el principio de presunción de inocencia”. Se refiere a la grabación de una “supuesta conversación” —en palabras de la demanda— sostenida por el recurrente con el querellante y sus familiares presentes en aquel encuentro previamente concertado, donde el acusado habría reconocido los hechos según las resoluciones impugnadas, en todo caso ignorando que dicha conversación “privada” estaba siendo registrada. En concreto, alega la demanda que se vulnera el derecho fundamental a no declarar contra sí mismo y a no confesarse culpable (art. 24.2 CE), al ser utilizada como prueba de cargo para su condena. Añade que se desconocen las condiciones en que se produjo la grabación, ni quién la realizó, o la volcó después a un formato CD, o quién la entregó al letrado de la acusación, afirmando éste que le llegó el día antes de la celebración de la vista oral, impidiendo así el ejercicio del derecho de contradicción del recurrente, con resultado de indefensión. La grabación ha servido para acreditar el elemento subjetivo del tipo penal aplicado, remacha, pese a ser una prueba vulneradora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segunda queja fue la de lesión del “derecho a un proceso con todas las garantías” (art. 24.2 CE), ahora por “violación del principio acusatorio, al calificar las acusaciones los hechos como un delito de estafa del art. 250 CP, siendo mi patrocinado finalmente condenado por el art. 251.2 CP, no apreciando homogeneidad material entre ambos preceptos”. Cita en su apoyo jurisprudencia de la Sala Segunda del Tribunal Supremo sobre los elementos constitutivos de ambos delitos, de donde extrae la a su parecer falta de homogeneidad que exigía haberse formulado acusación específica del delito por el que se le condenó.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Y en tercer y último lugar adujo la vulneración del “derecho a un proceso con todas las garantías” (art. 24.2 CE), “por no haber procedido a la aplicación de [la] atenuante por dilaciones indebidas como muy cualificada en conexión con lo dispuesto en los arts. 66 y 21.6 del Código Penal”; queja que cabe reconducir por su contenido a la del derecho a la tutela judicial efectiva (art. 24.1 CE), en su vertiente de derecho a una resolución jurídicamente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de la demanda, se alegó finalmente lo que sigue: “que, dado que, por la naturaleza de la condena, privativa de libertad, su ejecución haría perder al amparo su finalidad y, según lo establecido por el art. 56 LOTC, al Tribunal suplico que se suspenda la ejecución de la sentencia impugnada, notificándolo al órgano judicial que la dictó”.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dictó providencia el 2 de julio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 la Sala Segunda del Tribunal Supremo a fin de que, en plazo que no exceda de diez días, remita certificación o fotocopia adverada de las actuaciones correspondientes al recurso de casación num. 2993-2017.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Diríjase igualmente atenta comunicación a la Sección Segunda de la Audiencia Provincial de Murcia a fin de que, en plazo que no exceda de diez días, remita certificación o fotocopia adverada de las actuaciones correspondientes al rollo P.A. (…);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2 de julio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fiscal jefe ante este Tribunal Constitucional formalizó su escrito de alegaciones el 17 de julio de 2019, interesando “que sea suspendida la ejecución de la pena privativa de libertad y de la accesoria de inhabilitación impuestas y se deniegue la suspensión del resto de los pronunciamientos condenatorios”.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respaldo a esta solicitud y luego de resumir los antecedentes del caso, invoca y reproduce en parte el fundamento jurídico 1 del ATC 36/2019, de 20 de mayo (por error, identificado como ATC 20/2019), en relación con el tenor del art. 56.1 de nuestra Ley Orgánica reguladora, así como también los fundamentos jurídicos 2 y 3 del ATC 93/2018, de 17 de septiembre, continente de la doctrina de este Tribunal sobre la suspensión de penas privativas de libertad, de la pena accesoria de inhabilitación especial para el ejercicio del derecho de sufragio pasivo, y de aquellos pronunciamientos de condena (penal o civil) de naturaleza patrimonial que pueda traer también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de referencia ha de conducir entonces, prosigue diciendo, a que se suspenda la pena de prisión de dos años que se le impuso, “dado el tiempo que se consuma normalmente en la tramitación del recurso de amparo” y para que “los efectos de su eventual concesión no sean meramente ilusorios, no desprendiéndose, por el contrario, que de su suspensión se siga perturbación grave a un interés constitucionalmente protegido ni a los derechos fundamentales o libertades públicas de otra persona”. Respecto de la pena accesoria de inhabilitación especial para el ejercicio del derecho de sufragio pasivo durante el tiempo de la condena, pide también su suspensión con arreglo a aquella misma doctrina, al seguir la suerte de la pena principal a estos efectos procesales. Y se opone por último a que se suspenda el pago de la indemnización y el de las costas procesales, “por no producir daños irreparables o de muy difícil reparación, al ser susceptibles de restitución íntegra”.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No consta que el representante procesal del recurrente en amparo haya presentado alegaciones en la presente pieza incidental.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la parte recurrente en amparo ha formulado en un otrosí digo de su demanda la solicitud de suspensión en concreto de la ejecución de la pena privativa de libertad de dos años que le fue impuesta por sentencia de la Audiencia Provincial de Murcia, y que confirmó en casación por auto la Sala Segunda del Tribunal Supremo; resoluciones ambas impugnadas en este proceso. A continuación, sin embargo, ha pedido en el mismo escrito la suspensión “de la sentencia” sin más precisiones, lo que alcanzaría también a los demás pronunciamientos incluidos en la dispositiva de ésta: la pena accesoria de inhabilitación especial para el ejercicio del derecho de sufragio pasivo por el tiempo de la condena, el pago de una indemnización dineraria al acusador privado, y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esta cierta contradicción de los términos, y a que la parte ha desaprovechado la oportunidad que le brindaba la apertura de este procedimiento incidental para formalizar alegaciones, procedemos a dar por hecha la solicitud de suspensión respecto de todos los pronunciamientos de la sentencia de condena, en orden a colmar sus posibilidades de tutela. La fiscal jefe ante este Tribunal Constitucional, quien sí ha presentado escrito de alegaciones en la pieza, apoya la solicitud de suspensión de las dos penas indicadas, y rechaza que se acuerde la misma medida en cuanto a los demás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planteado el debate, resulta de aplicación la doctrina contenida en nuestro ATC 34/2016, de 15 de febrero, FFJJ 2 a 4, donde con cita del anterior ATC 198/2014, FJ 2, se resuelve una pretensión sustancialmente similar a la que ahora nos ocupa. Declaramos en aquel primer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trata de la suspensión de penas de prisión, se ha venido reiterando doctrina en virtud de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concierne a la suspensión de las penas privativas de libertad […], ha de accederse a lo solicitado, con respaldo en este punto del ministerio fiscal. La extensión total de la indicada pena, dos años de prisión en total […], teniendo en cuenta el tiempo que requerirá la tramitación de este proceso de amparo y su resolución por la Sala, podría ocasionar un perjuicio irreparable de no suspenderse su cumplimiento, lo que haría perder gran parte, sino toda, la eficacia de un eventual fallo estimatorio del recurso; teniendo en cuenta además que no se produce ninguna perturbación grave de los intereses generales, ni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decisión de suspender ha de acordarse también en cuanto a la pena accesoria de inhabilitación especial para el ejercicio del derecho de sufragio pasivo durante el tiempo de la condena de prisión, conforme reiterada doctrina del Tribunal que determina que la pena accesoria siga la suerte de la pena principal, respecto de lo que se haya acordado sobre ésta en el incidente de suspensión (por todos, ATC 291/2014, de 1 de diciembre, FJ 3, con cita de otros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suspender […] [el] pago de la indemnización por responsabilidad civil ex delicto [...] y el de las costas procesales causadas […]; tienen un contenido patrimonial y por tanto, por su naturaleza, no producen daño irreparable o de muy difícil reparación (entre otros, AATC 386/2008, de 15 de diciembre, FJ 3; 156/2009 y 157/2009, ambos de 18 de mayo, FJ 3; 18/2011, de 28 de febrero, FJ 4, y 16/2012, de 30 de enero, FFJJ 2 y 3). Para que en el caso concreto pudiera estimarse otra cosa habría sido necesario que […], bien en el otrosí digo de su demanda de amparo, bien en el escrito de alegaciones abierto dentro de la pieza de suspensión, hubiesen fundamentado verosímilmente la imposibilidad de reparación (ATC 117/2004, de 19 de abril, FJ 4). Extremo sobre el que sin embargo no se pronuncian […]. El incumplimiento de la carga de alegación […] conduce a desestimar su solicitud de suspensión respecto de las mismas (por ejemplo, AATC 56/2009, de 23 de febrero, FJ 2, y 124/2012,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entre otros, los posteriores AATC 35/2017, de 27 de febrero, FFJJ 1 y 2; 52/2017, de 18 de abril, FJ 2, y 93/2018, de 17 de septiembre, FFJJ 1 a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por tanto estimar parcialmente la solicitud formulada por el demandante de amparo, debiendo acordarse la suspensión de la pena privativa de libertad de dos años, así como también la suspensión de la pena accesoria de inhabilitación especial para el ejercicio del derecho de sufragio pasivo por el tiempo de la condena, impuestas por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sentido contrario, huérfana de cualquier argumentación por el recurrente que explique su posible carácter irreparable, se deniega la suspensión tanto de la indemnización resarcitoria (77.000 € más los intereses de mora del art. 576 de la Ley de enjuiciamiento civil), como del pago de las costas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Sección Segunda de la Audiencia Provincial de Murcia recurrida, única y exclusivamente en cuanto a la imposición de la pena de prisión de dos años y de la pena accesoria de inhabilitación especial para el ejercicio del derecho de sufragio pasivo durante el tiempo de la condena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