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2778-2018, promovido por la entidad Majefrisa, S.A., contra la providencia de 11 de abril de 2018, dictada por el Juzgado de Primera Instancia e Instrucción núm. 2 de Ciudad Rodrigo, recaída en el procedimiento monitorio núm. 174-2017, que inadmitió el incidente de nulidad de actuaciones promovido por la actora contra todas las resoluciones anteriores, recaídas en el procedimiento monitorio de referencia. Se ha personado en las actuaciones la entidad Asociación Organización Interprofesional Agroalimentaria de la Carne de Vacuno-Provacuno.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mayo de 2018, el procurador de los tribunales don Luciano Rosch Nadal, en representación de Majefrisa, S.A., interpuso recurso de amparo contra la resolución referida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31 de julio de 2017 la entidad Asociación Organización Interprofesional Agroalimentaria de la Carne de Vacuno-Provacuno presentó solicitud de procedimiento monitorio contra la entidad ahora recurrente de amparo reclamando el pago de la cantidad de 18.076,19 €.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diligencia de ordenación de 31 de octubre de 2017, el letrado de la administración de justicia del Juzgado de Primera Instancia e Instrucción núm. 2 de Ciudad Rodrigo (Salamanca), tras considerar que la solicitud presentada cumplía con los requisitos legales necesarios para ser sustanciada por los trámites del procedimiento monitorio, acordó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“Requerir a la parte deudora, Majefrisa S.A., a través de la sede judicial electrónica, para que en el plazo de veinte días pague al peticionario acreedor la cantidad de 18.076,19 €, acreditándolo ante este órgano, o comparezca ante el mismo alegando de forma fundada y motivada en escrito de oposición las razones por las que, a su entender, no deben en todo o en parte, la cantidad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certificación emitida en fecha 17 de diciembre de 2017 por el soporte del servicio de notificaciones electrónicas y dirección electrónica habilitada el requerimiento fue enviado en fecha 1 de noviembre de 2017, a las 3:59 horas, produciéndose el rechazo automático de la notificación el día 17 de diciembre de 2017, a las 00:00 horas. La certificación emitida contiene la siguiente aclaración: “el rechazo automático se produce, de forma general, tras haber transcurrido diez días naturales desde su puesta a disposición para su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decreto de 30 de enero de 2018, el letrado de la administración de justicia, constatando que había transcurrido el plazo otorgado sin que el demandado hubiera comparecido ni presentado escrito de oposición, como tampoco acreditado el abono de la cantidad adecuada, dispuso, de acuerdo con lo previsto en el art. 816 de la Ley de enjuiciamiento civil (LEC), el archivo del procedimiento monitorio y el traslado al acreedor “a fin de que presente demanda de ejecución, en el caso de que desee proceder al despacho de la misma”. Esta resolución fue declarada firme en diligencia de ordenación de 12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del decreto de 30 de enero de 2018 también fue realizada, en fecha 1 de febrero de 2018, a través de la dirección electrónica habilitada, siendo aceptada por la ahora recurrente de amparo el día 16 de marzo de 2018, cuando ya había sido declarado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 escrito presentado el día 21 de marzo de 2018, la ahora demandante de amparo, alegando haber tenido conocimiento del procedimiento monitorio al aceptar, el 16 de marzo de 2018, la notificación del decreto de 30 de enero de 2018, compareció en el procedimiento promoviendo incidente de nulidad de actuaciones. Afirma en este escrito que no ha tenido constancia de haber sido emplazada “en su domicilio social ni mediante edictos”, razón por la cual “todo el procedimiento se ha seguido inaudita parte”. Alega que “[d]icha forma de proceder del juzgado vulnera los arts. 155 LEC y 165 LEC, entre otros preceptos de dicho cuerpo legal, ocasionándole indefensión por vulneración del derecho fundamental a la tutela judicial efectiva reconocido en art. 24 de la Constitución española, debido a que se ha privado a mi mandante de todas las facultades y derechos que se recogen en la normativa que regula el procedimiento monitorio, en especial la de oponerse a la demanda monitoria”.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Dada cuenta por el letrado de la administración de justicia de la solicitud de nulidad de actuaciones en diligencia de ordenación de 11 de abril de 2018, la titular del Juzgado de Primera Instancia e Instrucción núm. 2 de Ciudad Rodrigo dictó providencia de la misma fecha inadmitiendo el incidente planteado con la argumentación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cuenta. Presentado por el procurador […] en nombre de la mercantil Majefrisa, S.A., escrito promoviendo nulidad de actuaciones por falta de notificación y requerimiento a la misma, visto el estado de las presentes actuaciones, resulta lo siguiente: que con fecha 31/10/2017 y recepción en destino 17/11/2017 se notificó el procedimiento y requirió mediante la oportuna cédula en legal forma citada empresa; que con fecha 31/01/2018 se notifica a Majefrisa mediante Lexnet el decreto de 20/01/2018 que pone fin al procedimiento, con fecha de recepción en destino 01/02/2018; y que el 13/03/2018 se notifica a la empresa antes citada la resolución de firmeza de la anterior y archivo del procedimiento, con recepción en destino el 15/03/2018.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establece el art. 162.2 de la Ley de Enjuiciamiento Civil ‘[…] cuando constando la correcta remisión del acto de comunicación por dichos medios técnicos […] transcurrieran tres días sin que el destinatario acceda a su contenido, se entenderá que la comunicación ha sido efectuada legalmente desplegando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todo lo anterior y de acuerdo con lo establecido en el art. 228 in fine de la LEC, se inadmite la solicitud de nulidad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entidad recurrente considera que ha sufrido una situación de indefensión, proscrita en el art. 24.1 CE, como consecuencia de la diligencia de ordenación de 31 de octubre de 2017, que acordó el emplazamiento a través de la dirección electrónica habilitada. Según alega, dicha resolución infringió lo previsto en el art. 155 LEC, que sigue disponiendo la remisión de cédula de emplazamiento al domicilio de las partes que aún no estén personadas. Añade que la infracción de aquella formalidad procesal dio lugar a la tramitación del procedimiento inaudita parte, ocasionándole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 la parte actora el asunto que plantea tiene especial trascendencia constitucional, con arreglo a la letra g) del fundamento jurídico 2 de la STC 155/2009, de 25 de junio, pues “la normativa actualmente vigente” impone “a las personas jurídicas y a otros sujetos” la obligación de “intervenir a través de medios electrónicos con la administración de justicia (art. 273.3 LEC)”, planteando la cuestión de si el emplazamiento inicial ha de ser practicado a través de sede electrónica judicial o en el domicilio “con la notificación íntegra de la resolución judicial y de la demanda”. Esta cuestión tiene, según añade la actora, “especial repercusión económica”, pues el tejido empresarial español se caracteriza por la abundancia de “pequeñas y medianas empresas en que el grado de implantación de las nuevas tecnologías no se ha desarrollado al mismo ritmo que en las grandes empresas, sencillamente porque aquellas no tienen los mismos recursos económicos que estas últimas para que se desarrolle dicha implantación, con el consiguiente desfase que ello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Pide, finalmente, la demandante que se declare la vulneración de su derecho a la tutela judicial efectiva, en su vertiente de prohibición de indefensión recogido en el art. 24 CE, se declare la nulidad de todas las actuaciones judiciales desde la diligencia de ordenación de 31 de octubre de 2017 y se retrotraigan las actuaciones al momento inmediatamente anterior a dicha resolución, a fin de que el juzgado dicte otra en su lugar que sea respetuosa con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junio de 2019, la Sección Cuarta de este Tribunal acordó la admisión a trámite de la demanda de amparo presentada, “apreciando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En aplicación de lo dispuesto en el art. 51 LOTC, se acordó dirigir atenta comunicación al Juzgado de Primera Instancia e Instrucción núm. 2 de Ciudad Rodrigo a fin de que procediese a emplazar a quienes hubieran sido parte en el procedimiento, a excepción de la parte recurrente en amparo, para que en el plazo de diez días pudiesen comparecer, si lo deseaban,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Cuarta de este Tribunal de fecha 12 de julio de 2019, se acordó tener por personado y parte en el procedimiento al procurador don Marcelino Bartolomé Carretas, en nombre y representación de la “Asociación Organización Interprofesional Agroalimentaria de Carne de Vacuno–Provacuno”, ordenándose entender con él las sucesivas diligencias, y,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5 de septiembre de 2019 tuvieron entrada las alegaciones presentadas por la recurrente de amparo, en las que ratifica las formuladas en la propia demanda y añade que el asunto que plantea es “prácticamente idéntico” al resuelto en la STC 47/2019, de 8 abril, que “si bien se refiere a un procedimiento seguido ante la jurisdicción social, hace expresa mención a los artículos 155 y 273.3 LEC y a su aplicación” al primer emplazamiento del demandado cuando se trata de una persona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5 de septiembre de 2019 también tuvo entrada el escrito de alegaciones de la  Organización Interprofesional Agroalimentaria de la Carne de Vacuno-Provacuno, en el que interesa la desestimación de la demanda de amparo. La entidad comparecida reconoce, en primer lugar, que la doctrina fijada en la STC 47/2019, de 8 de abril, podría hacer pensar que se ha producido, en el caso ahora planteado, una vulneración análoga del art. 24.1 CE. Añade, no obstante, que existen razones que han de llevar a una resolución desestimatoria, en concreto las siguientes: (i) la demandante de amparo no fue diligente, ya que recibió el correo electrónico de emplazamiento en la sede judicial electrónica, ignorando esta comunicación, cuando debía haber estado “sobre aviso” acerca de ella al haber recibido previamente, en fecha 29 de junio de 2017, un burofax que, reclamando el pago de la deuda, advertía de la futura iniciación de un procedimiento monitorio; (ii) el asunto carece de la especial trascendencia invocada, ya que la parte considera “exagerado, muy exagerado” fijar la relevancia del asunto en “las repercusiones para el tráfico comercial y jurídico que tiene la notificación por medios telemáticos”, cuando, según argumenta, la utilización del correo electrónico ya tiene un “papel central” en la actividad empresarial española; (iii) la indefensión alegada no existe, no solo por la falta de diligencia de la actora, sino también porque fue emplazada a través de un medio, el correo electrónico, expresamente previsto en la Ley de enjuiciamiento civil para los actos de comunicación con las personas jurídicas (arts. 162 y 273.3 LEC), que permite “conocer perfectamente el contenido del acto” y que puede consultarse periódicamente, sin que esta obligación suponga, en modo alguno, “una gran carga”; (iv) la “justicia material” también aconseja la desestimación, ya que la presente demanda de amparo se inscribe, según se alega, en una estrategia deliberada tendente a obstaculizar el pago de facturas, estrategia que persiste, según añade la entidad alegante, en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6 de septiembre de 2019, tuvieron entrada en el registro general de este Tribunal las alegaciones del Ministerio Fiscal en las que interesa la estimación del amparo. Tras glosar el contenido de los preceptos legales aplicables (arts. 155 y 273 LEC) y exponer la doctrina fijada en las SSTC 6/2019 y 47/2019, el fiscal ante el Tribunal Constitucional concluye que “el juzgado de Ciudad Rodrigo no debió prescindir de la notificación personal, mucho más cuando le fue reclamada en el correspondiente incidente de nulidad, en el que lejos de solventar la vulneración reincidió en ella”. Entiende el fiscal que las normas que han dado lugar a declarar la violación del derecho de acceso al proceso en la STC 47/2019 son las generales de la Ley de enjuiciamiento civil que son aplicables al caso que nos ocupa, por lo que carece de relevancia que, en el supuesto resuelto en la referida sentencia, se tratase de un litigio entablado ante la jurisdicción social. Por ello, insiste en que “el juzgado de Ciudad Rodrigo erró al desconocer la aplicabilidad de los arts. 155 y 273 LEC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octubre de 2019,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planteamientos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 la providencia de 11 de abril de 2018, dictada por el Juzgado de Primera Instancia e Instrucción núm. 2 de Ciudad Rodrigo, por la que se inadmitió a trámite el incidente de nulidad de actuaciones presentado por la entidad Majefrisa, S.A., la ahora demandante de amparo, en el seno del procedimiento monitorio núm. 174-2017. La demandante considera que ha resultado vulnerado su derecho a la tutela judicial efectiva (art. 24.1 CE), en su vertiente de derecho de acceso al proceso, pues, según afirma, no fue emplazada en la forma prescrita en la normativa procesal aplicable, razón por la cual sufrió una situación de indefensión que el órgano judicial consolidó al desatender en la providencia impugnada su solicitud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 ello la entidad Asociación Organización Interprofesional Agroalimentaria de la Carne de Vacuno-Provacuno (en adelante, Provacuno), que intervino en la vía judicial previa instando, como acreedora, el correspondiente procedimiento monitorio. Estima esta entidad que la ahora recurrente de amparo no actuó con la debida diligencia, al no comprobar periódicamente su cuenta de correo electrónico, especialmente cuando, según afirma, antes de la iniciación del procedimiento judicial fue requerida de pago a través de un burofax en el que se la advertía de la próxima iniciación de un procedimiento judicial para la reclamación de la deuda. Añade que la ahora actora desarrolla una estrategia puramente dilatoria para evitar el pago de deudas debidamente documentadas. Considera, asimismo, que el correo electrónico es un medio idóneo para tomar conocimiento de un pleito, por lo que en nada afecta a los derechos procesales de las partes que se utilice esta vía para llevar a cabo la primera citación o emplazamiento en un litigio. Argumenta, en todo caso, que el asunto planteado carece de la especial trascendencia constitucional que se alega en la demanda, pues esta incide en la repercusión económica de la cuestión jurídica controvertida (primer emplazamiento o citación en sede electrónica), a la vista del escaso desarrollo tecnológico de las pequeñas y medianas empresas españolas, ignorando que el correo electrónico es un medio que está ampliamente implantado en la vida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comparecido el Ministerio Fiscal, que interesa la estimación de la demanda de amparo al considerar que resulta aplicable al presente supuesto la doctrina establecida en la STC 47/2019, de 8 de abril. Entiende el fiscal que los preceptos de la Ley de enjuiciamiento civil analizados entonces por este Tribunal, en un asunto atinente a la jurisdicción social, son los mismos que resultan directamente aplicables en el presente supuesto, relativo a un proceso sustanciado ante la jurisdicción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al óbice planteado por la representación de la entidad Provacuno hemos de adelantar ya que procede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Concurre, en todo caso, la exigible [art. 50.1 de la Ley Orgánica del Tribunal Constitucional (LOTC)] especial trascendencia constitucional. Así lo apreciamos en nuestra providencia de admisión de fecha 17 de junio de 2019, en la que señalamos que el presente asunto “puede dar ocasión al Tribunal para aclarar o cambiar su doctrina, como consecuencia de cambios normativos relevantes para la configuración del contenido del derecho fundamental [STC 155/2009, FJ 2 b)]”. Y, frente a lo alegado por la entidad Provacuno, hemos de recordar que la apreciación de la especial trascendencia constitucional pertenece al ámbito estricto de apreciación discrecional de este Tribunal, que no queda vinculado por las alegaciones que al efecto pueda realizar la parte demandante, a la que sólo compete cumplir con la carga argumentativa que sobre ella pesa (art. 49.1 LOTC). Por ello, las consideraciones efectuadas por Provacuno sobre la causa invocada por la actora en nada enervan lo ya apreciado en el trámite de admisión, especialmente a la vista de que la aludida sociedad reconoce la identidad del problema constitucional que ahora se plantea con el que motivó nuestra STC 47/2019, de 8 de abril, resolución esta que aún no había sido dictada cuando la presente demanda de amparo fue presentada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presente asunto permite extender la aplicación de la doctrina establecida en la citada STC 47/2019 al ámbito procesal donde los preceptos relativos al primer emplazamiento del demandado son directamente aplicables, esto es, a un litigio suscitado en el seno del propio orden jurisdiccional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y aplicación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47/2019, de 8 de abril, FFJJ 3 y 4, este Tribunal ha analizado el marco normativo establecido en la Ley reguladora de la jurisdicción social en relación con los actos de comunicación procesal. Al hacerlo, hemos constatado que dicha Ley se remite (art. 56 LJS), en cuanto a la utilización de medios electrónicos, a lo previsto con carácter general en la Ley de enjuiciamiento civil (LEC). Al analizar esta última hemos considerado, en línea con lo anticipado en la STC 6/2019, de 17 de enero, FJ 3, dictada por el Pleno de este Tribunal, que, si bien dicha ley procesal impone a la personas jurídicas la obligación general de comunicar con la administración de justicia a través de medios electrónicos [art. 273.3 a) LEC], el régimen jurídico específicamente aplicable al primer emplazamiento es el del art. 155.1, 2 y 3 LEC y del art. 273.4, párrafo 2, LEC, que exigen la “remisión al domicilio de los litigantes” (art. 155.1 LEC), estableciendo de forma específica, tanto la obligación de hacer constar en la demanda o en la petición o solicitud con la que se inicie el proceso “el domicilio del demandado, a efectos del primer emplazamiento o citación de este” (art. 155.2 LEC), como la de presentar en papel “los escritos y documentos que se presenten vía telemática o electrónica que den lugar al primer emplazamiento, citación o requerimiento del demandado” (art. 273.4, párrafo 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regulación, este Tribunal ha concluido en la citada STC 47/2019 —y así lo ha reiterado en su reciente STC 102/2019, de 16 de septiembre, FJ 2— que “no se ha de llevar a cabo por medios electrónicos la comunicación al demandado aún no personado en el procedimiento, en cuanto al acto de citación o emplazamiento, conforme a lo previsto en el art. 155.1 LEC, los cuales ‘se harán por remisión al domicilio de los litigantes’, regla que también opera en el proceso laboral (art. 53.1 LJS)”. Además, ha declarado que la ignorancia de esta excepción legal a la regla general de utilización de medios electrónicos puede producir la vulneración del derecho a la tutela judicial efectiva, en su dimensión de acceso al proceso, cuando, en los términos generales de nuestra doctrina, impide la adecuada constitución de la relación jurídica procesal, dando lugar a la tramitación del procedimiento inaudita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hemos de recordar, en este punto,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30/2014, de 24 de febrero, FJ 3, con expresa cita de la precedente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aplicable, la interpretación de las normas de la Ley de enjuiciamiento civil, efectuada a la luz de la denunciada vulneración del derecho a la tutela judicial efectiva del art. 24.1 CE, por la STC 47/2019, de 8 de abril, opera cuando aquellos preceptos de la norma legal de referencia resultan directamente aplicables a un proceso civil. En el caso que nos ocupa, se trata de un procedimiento monitorio en el que el primer acto de comunicación con la parte identificada como deudora es el requerimiento de pago previsto en el art. 815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acto inicial, con las graves consecuencias legales que lleva aparejadas (en particular la posibilidad de instar un procedimiento ejecutivo para la exacción de la deuda), es equiparado en nuestra doctrina, a efectos de la diligencia exigible para la adecuada constitución de la relación jurídica procesal, al acto de emplazamiento inicial del demandado (STC 176/2009, de 16 de julio, FJ 3). El art. 815.1 LEC dispone, en este sentido, que el requerimiento de pago al deudor “se notificará en la forma prevista en el art. 161 de esta ley”, precepto que prevé, a su vez, que la “entrega al destinatario de la comunicación de la copia de la resolución o de la cédula se efectuará en la sede del tribunal o en el domicilio de la persona que deba ser notificada, requerida, citada o emplazada”. Por efecto del art. 155 LEC, al constituir este requerimiento de pago del procedimiento monitorio el primer acto de comunicación con el demandado no personado ni representado por procurador, no es posible acudir en este caso a la utilización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entender, por ello, que, en el caso que nos ocupa, el órgano judicial erró al utilizar la dirección electrónica habilitada para realizar el requerimiento de pago de la ahora recurrente, pues desconoció lo expresamente dispuesto en los arts. 155 y 161 LEC y el valor que el acto procesal previsto en el art. 815 LEC tiene a los efectos de la válida constitución de la relación jurídica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apreciar que esta infracción ha conllevado la vulneración del derecho de la entidad demandante a la tutela judicial efectiva (art. 24.1 CE), en su vertiente de acceso al proceso, al haber impedido a la entidad ahora actora comparecer en el procedimiento monitorio a efectos de hacer valer sus derechos. Hay que tener presente, a efectos de constatar esta vulneración,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providencia de 11 de abril de 2018, por la que se inadmitió el incidente de nulidad de actuaciones, no aportó argumento legal alguno acerca de la aplicabilidad, en el caso concreto, de la dirección electrónica habilitada e incluso obvió toda referencia a la utilización de este sistema. Tampoco señaló ninguna circunstancia que pudiera indicar que la entidad demandada no había actuado con la debida diligencia o que había tenido conocimiento extraprocesal del pleito, circunstancias que, de acuerdo con la doctrina ya transcrita, han de quedar, en todo caso, debidamente acreditadas.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entidad Provacuno alega, por su parte, la existencia de un burofax previo en el que, según se afirma, se habría advertido a la ahora demandante de amparo de la próxima utilización de un procedimiento judicial para reclamar la deuda. Considera, por ello, que la ahora recurrente debió cumplir con la mínima diligencia de estar “sobre aviso” y comprobar su correo electrónico periódicamente. No obstante, la circunstancia alegada (reclamación extrajudicial previa) es una práctica usual que en nada singulariza el presente caso y que no puede ser convertida en parámetro de diligencia debida sin desvirtuar el claro mandato del art. 155 LEC relativo a la forma de realización del primer emplazamiento; acto cuya trascendencia a efectos de constituir válidamente la relación jurídica procesal no necesita ser nuevamente subrayada.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Ninguna consideración cabe hacer, por otra parte, sobre la alegación de Provacuno relativa a la existencia de una estrategia dilatoria por parte de la ahora actora, pues este juicio de valor carece de soporte fáctico en los hechos que resultan de las actuaciones judiciales. Tampoco tiene relevancia que la precitada entidad considere que el correo electrónico es un medio que, en abstracto, permite tener conocimiento de la existencia de un proceso, pues la esencia de la doctrina que ahora aplicamos no se funda en la inidoneidad general del medio (electrónico) utilizado, sino en la vigencia de preceptos legales que excluyen la posibilidad de acudir al mismo para el acto de primera citación o emplazamiento, por la importancia que este acto reviste para la adecuada constitución de la relación jurídica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todo ello, declarar la nulidad de la resolución judicial impugnada y acordar la retroacción de las actuaciones hasta el momento procesal oportuno, a fin de que la tramitación del acto de requerimiento de pago del procedimiento monitorio se realice de forma respetuosa con el derecho fundamental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Majefrisa,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la providencia de 11 de abril de 2018, dictada por el Juzgado de Primera Instancia e Instrucción núm. 2 de Ciudad Rodrigo, que inadmitió el incidente de nulidad de actuaciones interpuesto contra la diligencia de ordenación de 31 de octubre de 2017, cuya nulidad también se acuerda.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procedimiento monitorio 174-2017 hasta el momento inmediatamente anterior al dictado de la diligencia de ordenación de 31 de octubre de 2017, a fin de que el requerimiento de pago se efectúe de manera respetuosa con el derecho fundamental así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