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5809-2018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5809-2018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108-2018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noviembre de 2018, la entidad Penrei Inversiones, S.L., representada por la procuradora de tribunales doña Blanca Berriatua Horta y bajo la dirección de la letrada doña Anju Nirmala Benavent Rodríguez, interpuso recurso de amparo contra los autos dictados por el Juzgado de Primera Instancia e Instrucción núm. 3 de Lorca en el procedimiento de ejecución hipotecaria núm. 108-2018 en fechas 27 de junio y 26 de septiembre de 2018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108-2018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20 de abril de 2018 se acordó despachar ejecución frente a las sociedades demandadas. El citado auto y el decreto de la misma fecha fueron comunicados a las citadas entidades a través de la sede judicial electrónica el día 26 de abril de 2018. El mismo día, el servicio de notificaciones electrónicas de la Fábrica Nacional de Moneda y Timbre remitió a la demandante de amparo, a través de la dirección electrónica habilitada, una notificación del siguiente tenor: “[l]a Notificación estará disponible en su Dirección Electrónica Habilitada única desde el 26 de abril de 2018 hasta el 11 de junio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demandante presentó escrito de oposición a la ejecución despachada, en fecha 22 de junio de 2018. Por auto de 27 de junio de 2018 se acordó su inadmisión por presentación extemporánea, al considerarse que había transcurrido el plazo de diez días previsto en el art. 695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26 de abril de 2018, sino el 11 de junio de 2018, y que la comunicación remitida a través de la dirección electrónica habilitada no puede entenderse más que como un aviso de puesta a disposición o descarga de su contenido durante un plazo determinado (en el caso desde el 26 de abril al 11 de junio de 2018). De ahí que, al haber accedido a dicha comunicación el día 11 de junio de 2018, es en ese día cuando debe entenderse efectuada la notificación. Y entenderlo de otro modo, además de infringir los arts. 135, 152, 160, 162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26 de septiembre de 2018. Según consta en la indicada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a) de la Ley 39/2015 y 273.3 LEC. Según se afirma en la indicada resolución, “es cierto que la notificación por medios electrónicos efectivamente se realiza cuando el destinatario accede a su contenido. Ahora bien, hierran en el plazo en el que puede acceder a su contenido a efectos de la práctica de la notificación, el cual es de diez días naturales desde el puesta a su disposición y ello por imperativo del artículo 43.2 de la citada Ley LPACAP (ley 39/2015) […] En el presente caso, consta que la notificación se puso a disposición de las recurrentes en fecha 26 de abril de 2018 no accediendo al contenido hasta el 11 de junio de 2018 (fuera de los diez días naturales), presentando los escritos de oposición a la ejecución en fecha 22 de junio de 2018, claramente fuera del plazo legalmente establecido en el art. 556.1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denuncia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y accedió al contenido de la notificación dentro del plazo establecido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afirma que el órgano judicial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octubre de 2019, la Sección Tercera de este Tribunal acordó admitir a trámite el recurso de amparo y dirigir comunicación al Juzgado de Primera Instancia e Instrucción núm. 3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8 de noviembre de 2019, la parte demandante formuló sus alegaciones, en el cual reitera lo interesado en el otrosí de su demanda, con sustento en el ATC 287/2013, de 16 de diciembre, cuyo contenido parcialmente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el 12 de noviembre del 2019. En síntesis, interesa que se acuerde la anotación preventiva de la demanda en el registro de la propiedad. Tras compendiar la doctrina constitucional relativa a la suspensión prevista en el art. 56 LOTC, sostiene que la solicitud de la medida de suspensión solo alude a la pérdida de finalidad del recurso, para el caso de que llegara a celebrarse la subasta, pero no ofrece ninguna razón que justifique esa pérdida de finalidad a que alude. Además, considera más eficaz la anotación preventiva de la demanda en el registro de la propiedad, medida mediante la cual se daría publicidad a terceros de la pendencia del recurso y se evitaría que un hipotético tercer adquirente del inmueble hipotecado quede especialmente protegido por su buena fe en la adquisición.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108-2018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pues la medida idónea es la anotación preventiva de la demanda en el registro de la propiedad.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el procedimiento se encuentra en la fase inicial una vez rechazada la oposición a la ejecución y que el inmueble sobre el que se sigue tal ejecución está constituido por una vivienda cuya situación posesoria no consta.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 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108-2018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