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11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4885-2020, promovido por el Grupo Mixto del Parlamento Vasco y por doña Amaia Martínez Grisaleña, parlamentaria del citado Parlamento, contra los acuerdos de la mesa de aquella Cámara, de 13 de agosto y de 8 de septiembre de 2020, que respectivamente, desestimó el primero y rechazó el segundo en trámite de reconsideración, determinadas solicitudes presentadas por aquellos en relación con el ejercicio de sus funciones parlamentarias en la citada Cámara. Ha sido parte el Parlamento Vasco.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18 de octubre de 2020, el procurador de los tribunales don Antonio Ortega Fuentes, en nombre y representación del Grupo Mixto del Parlamento Vasco y de doña Amaia Martínez Grisaleña, parlamentaria del citado Parlamento, asistidos por la letrada doña Marta Castro Fuertes, interpusieron recurso de amparo contra los acuerdos de la mesa de aquella Cámara, de 13 de agosto y de 8 de septiembre de 2020, que, respectivamente, desestimó el primero y rechazó el segundo en trámite de reconsideración determinadas solicitudes presentadas por aquellos en relación con el ejercicio de sus funciones parlamentarias en la citada Cámara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elecciones al Parlamento Vasco celebradas el día 12 de julio de 2020, la candidatura del partido político Vox obtuvo un acta de diputado que correspondió a doña Amaia Martínez Grisaleña, lo que determinó que, una vez constituida la Cámara, la referida diputada quedara integrada en el Grupo Parlamentario Mixto al no alcanzar su formación política la cifra mínima de tres diputados para constituir un grupo parlamentario propio, de conformidad con lo dispuesto en el art. 24.1 del Reglamento del Parlamento Vasco (en adelante, el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sesión celebrada el día 13 de agosto de 2020, la mesa del Parlamento acordó: (i) no acceder a la propuesta presentada por la diputada de Vox, ahora demandante de amparo, de cambio de denominación del “Grupo Parlamentario Mixto” por el de “Grupo Parlamentario Vox” o “Grupo Parlamentario Mixto-Vox” (acuerdo 2020-2075); (ii) aprobó la propuesta de otros grupos de la Cámara por el que se establecen los órdenes del día y los tiempos de debate en las sesiones plenarias (acuerdo 2020/2094), de tal manera que al Grupo Mixto le correspondería la posibilidad de incluir una iniciativa (proposiciones de ley o no de ley, mociones consecuencia de interpelación) cada tres plenos ordinarios, así como se limita el tiempo de intervención en los debates a un tercio del previsto para el resto de grupos, pudiendo, finalmente, incluir una interpelación y cuatro preguntas orales cada tres plenos de control al gobierno; y (iii) poner a disposición del Grupo Mixto un asistente (personal técnico-administrativo) para el desarrollo de sus funciones parlamentarias (acuerdo 2020-2093).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Doña Amaia Martínez Grisaleña, en cuanto diputada electa por la formación política Vox e integrada en el Grupo Mixto de la Cámara vasca, presentó escrito solicitando la reconsideración de los anteriores acuerdos de 13 de agosto de 2020 y que fueran atendidas sus peticiones.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su escrito se recogían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art. 23 CE y de los arts. 25, 180 y 184 del RPV, en relación con la costumbre parlamentaria”. En esta primera alegación, la parlamentaria denunciaba que los acuerdos impugnados suponían “una arbitraria y discriminatoria limitación” del ejercicio de su derecho de participación política y, por extensión, de los derechos de los ciudadanos a los que representa. Considera que tales decisiones han sido “ideadas” por los grupos proponentes de la Cámara “(GP EA-NV, GP EH Bildu, GP SV-ES y GP EP-IU), con un confeso propósito de imponer a esta parlamentaria —y a la formación política por la que ha resultado electa, Vox—, un ‘cordón sanitario’ que limite a la mínima expresión posible su presencia y actividad en 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esta afirmación, en el escrito destaca unos términos de comparación señalando que, a diferencia del resto de grupos parlamentarios de la Cámara vasca, al Grupo Mixto le han sido asignados los siguientes tiempos de intervención e iniciativas: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Frente a la posibilidad de que el resto de grupos puedan incluir hasta dos iniciativas en el orden del día de cada pleno, al Grupo Mixto solo se le permite una iniciativa cada tres plenos.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le reduce el tiempo de intervención del Grupo Mixto en todos los plenos a un tercio del previsto para el resto de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Solo se le permite al Grupo Mixto incluir una interpelación y cuatro preguntas orales cada tres plenos.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tales limitaciones contravienen lo establecido en los arts. 25, 180 y 184 RPV “y la práctica parlamentaria seguida por esta Cámara, dado que, en precedentes legislaturas, concretamente de 2012 a 2016, tratándose del Parlamentario electo por el partido UPyD, integrado también en solitario en el Grupo Mixto, la mesa acordó que las condiciones y tiempos de intervención fueran los mismos que el resto de grupos”. Según refiere, los acuerdos han contravenido, igualmente, la práctica parlamentaria al limitar de manera arbitraria y discriminatoria el número de los asistentes que podrían coadyuvar a la diputada impugnante a desarrollar su actividad parlamentaria, toda vez que lo han reducido a un único asistente; lo que tampoco se produjo en legislaturas anteriores, pues al diputado de UPyD, integrado como ella en el Grupo Mixto y en solitario, le fueron asignados tres asistentes. Agrega a lo expuesto, que tal asignación es, asimismo, desproporcionada, teniendo en cuenta que el número total de asistentes a distribuir entre los grupos parlamentarios de la Cámara es de cuarenta y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constitucional sobre el principio de proporcionalidad (cita la STC 14/2003, de 28 de enero), entiende que “[l]a restricción de ningún modo supera el juicio de idoneidad ni de necesidad, pero tampoco el de proporcionalidad en sentido estricto”, por cuanto le impide a esta diputada el ejercicio de sus derechos parlamentarios “(en dos de cada tres Plenos de control, por ejemplo, no podrá tener intervención alguna) y, consiguientemente, a los representados su derecho a participar en los asuntos públicos”. Además, los acuerdos impugnados afectan “singularmente al derecho de participación, en cuanto se impone[n] a una minoría parlamentaria” y cita expresamente la STC 115/2019, de 16 de octubre, FJ 3, recogiendo su contenido. Agrega al respecto, que “no cabe desconocer que la crítica y control del Ejecutivo, dadas las habituales dinámicas parlamentarias, se realiza por las minorías en la oposición (dado el ordinario seguimiento al Gobierno por parte de los diputados de la mayoría) y, por ello, la restricción injustificadamente impuesta a la función de control de los GP minoritarios supone una grave quiebra del propio principio democrático, del pluralismo político y, por supuesto, de la doble vertiente del derecho fundamental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motivación de los acuerdos de la Mesa”. Denuncia, en este segundo motivo de queja que, en los acuerdos de 13 de agosto de 2020, “no hay una motivación expresa, ni suficiente ni adecuada”. Con cita de doctrina constitucional (STC 32/2017, de 27 de febrero, FJ 4) destaca que, a diferencia de lo que ha declarado este tribunal en relación con la exigencia de una interpretación restrictiva de las normas que puedan suponer una limitación al ejercicio del derecho de participación política, que integran el estatuto del representante parlamentario, en este caso “se ha hecho una interpretación expansiva de la restricción y un correlativo entendimiento restrictivo del ejercicio del derecho que integra el núcleo del ius in officium de la parlamentaria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su juicio, las restricciones de derechos deben estar suficientemente motivadas; “[m]otivación que es exigible, de manera adicional, cuando la administración se aparta de sus previos precedentes, cual es el caso, en que, no solo se ha variado el criterio mantenido hasta la fecha respecto al parlamentario perteneciente a UPyD integrado en el Grupo Mixto en materia de intervenciones y asistentes sino, clamorosamente, tratándose de la denominación del Grupo Mixto que, tratándose de UPyD, sí se permitió añadir a la denominación las siglas de la formación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Parlamento Vasco, en sesión celebrada el día 8 de septiembre de 2020, oída la junta de portavoces, resolvió desestimar la solicitud de reconsideración formulada por la diputada doña Amaia Martínez Grisaleña, integrada en el Grupo Mixto, contra los acuerdos del día 13 de agosto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se destacan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conformidad con lo dispuesto en el art. 25.1 RPV, que dispone que los/las parlamentarios/as que no queden integrados en un grupo parlamentario en los plazos señalados, “quedarán incorporados al Grupo Mixto”, en la presente legislatura; “el Grupo Mixto está integrado por una única parlamentaria, perteneciente a una única fuerza política”, a lo que añade que “el Reglamento de la Cámara no reconoce el derecho a la creación de subgrupos en el interior del Grupo Mixto. Por ello, la denominación de Grupo Mixto no ofrece confusión alguna, y es la adecuada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que “la propuesta de ordenación de los órdenes del día y de los tiempos de debate de las sesiones plenarias” constituye “una interpretación razonable de lo establecido en el Reglamento de la Cámara”. Agrega que, “[d]e hecho, el art. 25.1 del RPV, al establecer que la participación del Grupo Mixto en las actividades del Parlamento será idéntica a la del resto de los grupos, no impide la modulación de la participación efectiva del Grupo Mixto”. Con apoyo en el principio de igualdad, entiende la mesa que “la igualdad supone, en reiterada doctrina constitucional, el tratamiento similar de lo similar y el establecimiento de diferencias en aquellos términos desiguales. De ello se deriva la razonabilidad del acuerdo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igualmente, que, en una interpretación sistemática de lo dispuesto en los arts. 24 (dispone que el grupo parlamentario se constituye con, al menos, tres diputados) y 25 RPV, ha de llegarse a una conclusión razonada por parte de los acuerdos impugnados, pues “[s]i el legislador hubiera querido que la participación del Grupo Mixto fuera la misma que la del resto de los grupos, un solo parlamentario o parlamentaria hubiera sido suficiente para la creación del grupo. En caso contrario, no existiría diferencia alguna entre la capacidad para constituir un grupo y la falta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mesa que la “existencia del Grupo Mixto pretende posibilitar la participación política de aquellas fuerzas que no han obtenido la representación necesaria para constituir un grupo parlamentario, y, como su propio nombre indica, su composición es diversa ideológicamente. Sería un fraude reglamentario otorgar a una fuerza política sin la representación numéricamente requerida unos derechos que el legislador no tuvo en su voluntad al aprobar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el número de asistentes (uno) asignado al Grupo Mixto, el acuerdo apunta que la decisión “se adapta a lo establecido en el artículo 28.2 RPV, donde se indica que los grupos parlamentarios contarán con un número de personal técnico-administrativo acorde a su respectiva representación parlamentaria”; de ahí que, según refiere el acuerdo, la asignación de dicho personal técnico-administrativo ha sido realizada de acuerdo con la representación de dicho grupo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los tres razonamientos expuestos, el acuerdo de la Mesa fue desestimatorio de la solicitud de reconsideración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como impugnados los acuerdos de la mesa del Parlamento Vasco de 13 de agosto y de 8 de septiembre de 2020 que, como se ha anticipado, denegaron determinadas solicitudes formuladas por la parlamentaria de Vox en dicha Cámara, doña Amaia Martínez Grisaleña y por el Grupo Mixto del mismo órgano legislativo en el que aquella ha quedado integrada. Después de hacer una descripción de los antecedentes, la impugnación queda asentada sobre la alegada vulneración del derecho de participación política reconocido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demanda haciendo una exposición detallada de la doctrina de este tribunal sobre el derecho fundamental del art. 23 CE y, en concreto, sobre el derecho de participación política de los parlamentarios autonómicos en cuanto representantes de los ciudadanos (art. 23.2 CE), con cita, entre otras, de la STC 199/2016, de 28 de noviembre, FJ 3, en referencia al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dedica un apartado a la doctrina de este tribunal sobre el respeto a las minorías en un régimen de democracia parlamentaria, haciendo mención a la STC 115/2019, de 16 de octubre, FJ 3, cuyo contenido recoge. Y finaliza este apartado inicial con la referencia al “valor de los usos parlamentarios” señalando, al respecto, que la STC 124/2018, de 14 de noviembre, FJ 2 B), ha recordado que los citados usos parlamentarios “han constituido tradicionalmente, y siguen constituyendo, un importante instrumento normativo dentro del ámbito de organización y funcionamiento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bajo la rúbrica “aplicación al caso”, la demanda señala, a modo de introducción de sus impugnaciones, que “los acuerdos impugnados se enmarcan en una estrategia de la mayoría en el Parlamento Vasco para crear un ‘cordón sanitario’ en torno al partido político Vox, negándole el derecho fundamental de participación política y, de paso, privando de ese mismo derecho a los ciudadanos” que le votaron.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seguidamente, al análisis por separado de cada uno de los tres acuerdos que adoptó la mesa del Parlamento Vasco en su sesión del día 13 de agosto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acuerdo por el que se establecieron los órdenes del día y los tiempos de debate en las sesiones plenarias (propuesta 2020/2094), el recurso centra su argumentación en el texto del art. 25.1 RPV que prescribe que “la participación del Grupo Mixto en las actividades del Parlamento será idéntica (tal como figura en el texto de la demanda) a la de los restantes grupos”, para defender que el acuerdo adoptado por la mesa del Parlamento vulnera de forma directa y frontal el Reglamento del Parlamento Vasco. Señala, al respecto, que si los reglamentos parlamentarios son el núcleo de la actividad parlamentaria, “un acuerdo adoptado sin ajustarse al reglamento no es un acuerdo, es una decisión inválida o incluso inexistente desde el punto de vista parlamentario (una decisión tomada por la vía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continúa destacando que los arts. 24.1 y 25 RPV establecen, respectivamente, una regla para la constitución de los grupos parlamentarios y otra para el funcionamiento de los mismos, una vez constituidos. Y, a continuación, vuelve a reiterar que el texto del último de los preceptos citados prevé una participación en las actividades parlamentarias “idéntica” para todos los grupos, incluido el mixto, ya lo sea por uno o por dos diputados de un solo partido o por más diputados de varias formaciones, en garantía de los derechos de las minorías. Agrega a lo expuesto que, en anteriores legislaturas del Parlamento Vasco, concretamente en la VIII, el Grupo Mixto estuvo integrado por un solo diputado de la candidatura de Aralar y quedó integrado en el Grupo Mixto-Aralar; igualmente, en la X legislatura, el Grupo Mixto estuvo formado por el único diputado de UPyD y recibió la denominación de Grupo Mixto-UPyD.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 esta argumentación con la afirmación de que, únicamente, en la IX legislatura el grupo mixto estuvo formado por tres diputados de tres formaciones políticas distintas, cada una de ellas con un miembro. Asimismo, en la XI legislatura no hubo Grupo Mixto. Señala, además, que la recurrente solicitó del Parlamento Vasco “los antecedentes desde la VIII legislatura (2005) de acuerdos de la mesa sobre los tiempos de participación del GP Mixto en los Plenos, recibiendo la respuesta de ‘sin acuerdos’ […] Es decir, los acuerdos que nos ocupan son absolutamente insólitos, no habiéndose restringido nunca por la mesa los tiempos de intervención del GP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posibilidad de realizar intervenciones en el Parlamento, la demanda destaca que, a diferencia de lo que dispone el art. 25.1 RPV, los acuerdos impugnados hacen una interpretación del término “idéntica” en el sentido de que aquella sea proporcional a la representación de los diputados que integren el Grupo Mixto de la Cámara, pero, en el parecer de los recurrentes, ni siquiera esta proporcionalidad se cumple, toda vez que “si bien los GP pueden incluir hasta dos iniciativas [en] cada Pleno, el GP Mixto solo puede presentar una iniciativa cada tres Plenos; lo que supone que el GP Mixto puede incluir 6 veces menos iniciativas cada tres Plenos que el resto de 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la demanda una detallada exposición de la, a su juicio, desproporción que se ha dispuesto por los acuerdos entre las diversas iniciativas parlamentarias que puedan adoptar el resto de grupos de la Cámara y las que se reconocen al Grupo Parlamentario Mixto del que forma parte Vox. En este sentido, alude: (i) a las interpelaciones, reguladas en el art. 180 a) RPV; (ii) a las preguntas a formular durante las sesiones plenarias monográficas, a que se refiere el art. 184.2 RPV; (iii) y la reducción de la intervención en los debates a un tercio de lo permitido al resto de grupos (debates en general, debates sobre enmiendas, intervenciones en la deliberación de los proyectos de ley, preguntas orales en las sesiones de control, otorgamiento de confianza al lehendakari, moción de censura, tramitación de proposiciones no de ley, interpelaciones o debates de política general, comparecencias del Gobierno, informe anual del Ararteko, del Tribunal de Cuentas vasco, tramitación de informes y estudios por el Parlamento, designaciones de senadores representantes de la comunidad autónoma vasca o en el procedimiento ante la comisión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refiere, los acuerdos impugnados “manifiestamente innovan o contradicen lo dispuesto con toda claridad en el reglamento parlamentario, en una previsión parlamentaria establecida precisamente en defensa de las minorías, para garantizarles una voz en el Parlamento equivalente a la del resto de grupos parlamentarios”. Esta norma ha sido respetada durante las precedentes legislaturas y ha sido en la presente cuando “por primera vez y con la única finalidad de impedir el ejercicio del derecho fundamental de participación a mi representada y a todos los votantes que le otorgaron su confianza, cuando se conculca frontalmente 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restricciones establecidas afectan, en el entender de los recurrentes, a “las funciones nucleares del representante electo”, pues se trata de restricciones que se extienden a “la presentación de iniciativas en las sesiones plenarias, el tiempo de intervención en los debates parlamentarios o la presentación de interpelaciones y preguntas en los Plenos de control” y, en consecuencia, inciden “directamente en el núcleo del ius in officium”. “Obviamente, también forma parte de ese núcleo el tiempo de intervención en los debates parlamentarios, respecto del cual, el art. 25.3 RPV prevé expresamente que las intervenciones del Grupo Mixto tendrán ‘la misma duración que la de un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los recurrentes postulan la declaración de nulidad de este primer acuerdo de la mesa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impugnan un segundo acuerdo, aprobado en la misma sesión del día 13 de agosto de 2020, relativo, en este caso, a que no se accediera a que la denominación del Grupo Parlamentario Mixto incluyera las siglas del único partido que lo integra (propuesta 2020/2075).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 que la supresión de las siglas del partido de la denominación del Grupo Parlamentario Mixto, en el que ha quedado integrada su única representante, afecta también al núcleo esencial del ius in officium, pues constituye expresión del pluralismo político. Con cita de la STC 72/1995, de 12 de mayo, FJ 4, que alude a que la denominación de la candidatura de un partido político que concurre a un proceso electoral “constituye ‘un instrumento de garantía del derecho de los ciudadanos a participar en los asuntos públicos por medio de representantes libremente elegidos (art. 23.1 CE)”’, entienden los recurrentes que las “interpelaciones, preguntas o mociones que configuran la función de control, a través de la denominación del partido que las realiza, permiten a la ciudadanía visualizar la opción política autora de la iniciativa y ejercer su derecho de participación a través de sus representantes electos, otorgando su apoyo o rechazando las actuaciones que se realizan en nombre de una determinada opción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los demandantes hacen una interpretación conjunta de los arts. 24.4 y 25.2 RPV, que se refieren, respectivamente, a la necesidad de que los diferentes grupos parlamentarios remitan a la mesa, en la sesión constitutiva de la Cámara, la denominación del grupo y de sus miembros y que el segundo de los preceptos citados “otorga a este grupo una amplia facultad autoorganizativa”, toda vez que dicho grupo se regirá por los acuerdos que pacten internamente sus miembros, por lo que ambos preceptos no restringen el derecho del partido a incluir en la denominación del Grupo Mixto las siglas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demanda reproduce lo ya alegado en el apartado anterior aludiendo a las denominaciones del Grupo Mixto en precedentes legislaturas, en referencia a otras denominaciones que fueron aceptadas como las del Grupo Mixto-Aralar o Grupo Mixto-UPyD, integrados por un único diputado. Además, los grupos mixtos de otras legislaturas, conformados por dos diputados, también se denominaron por las siglas del partido correspondiente. “De este modo, la práctica parlamentaria es tan contundente que resulta indiscutible la existencia de un verdadero uso parlamentario favorable a la utilización de las siglas del partido unidas a la denominación del grupo mixto”, con lo que, a juicio de los demandantes, se vuelve a “hacer efectivo el ‘cordón sanitario’ sobre una opción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puramente formal que el acuerdo denegatorio de la reconsideración da a la solicitud de los recurrentes, en el sentido de que “el Reglamento de la Cámara no reconoce el derecho a la creación de subgrupos en el interior del Grupo Mixto. Por ello, la denominación de Grupo Mixto no ofrece confusión alguna, y es la adecuada reglamentariamente”, es, a juicio de los recurrentes, “contraria a las exigencias recogidas en la jurisprudencia constitucional”. Según señalan en su escrito, el Reglamento del Parlamento Vasco no impide la inclusión de las siglas del único partido que integre el Grupo Mixto y, además, favorece la máxima facultad de autoorganización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motivación del acuerdo denegatorio debe ser “singularmente reforzada cuando el órgano parlamentario decide vulnerar un uso parlamentario” y, en el parecer de los recurrentes, la justificación dada por la mesa “no satisface este canon limitándose a la afirmación puramente apodíctica de que la denominación es la ‘adecuada reglamentariamente’”. Rechaza, igualmente, el argumento de que, en el seno del Grupo Mixto, no pudieran crearse subgrupos, pues no se ha tratado de establecer un subgrupo, sino de darle denominación al Grupo Mixto sobre la base de que el partido de la actora es el único integrado 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que la decisión de la mesa tampoco supera el juicio de proporcionalidad, toda vez que prohibir la denominación solicitada va en contra de la idoneidad de una denominación como la propuesta por los recurrentes, que facilitaría la identificación del partido que, con el carácter de único, forma parte del Grupo Mixto. Tampoco la medida de prohibir aquella denominación supera el juicio de necesidad, toda vez “que el propósito se consigue igualmente con una medida menos restrictiva como la aceptación de la inclusión de las siglas del único partido integrante del GP Mixto”. Finalmente, tampoco se deriva ningún beneficio para el interés general con la supresión de la denominación solicitada “y sí el perjuicio para el derecho de participación política”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tercer acuerdo impugnado alude al número de asistentes asignado a la representante del partido Vox, que fue de uno (propuesta 2020/2093).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si los medios personales y materiales puestos a disposición de los representantes parlamentarios son necesarios para el ejercicio de su función, “tampoco parece cuestionable que los órganos parlamentarios puedan imposibilitar o estrangular el ejercicio del derecho de participación a través de la restricción” de los medios que se atribuyen a cada grupo. De esta inicial afirmación deduce la demanda que resulta “evidente que los medios de que dispone cada grupo se integran en el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art. 28 RPV y del título III del Estatuto del personal y régimen jurídico de la administración Parlamentaria de 22 de junio de 1990, que regula este último, “el personal eventual del Parlamento Vasco”, la demanda denuncia la vulneración de la normativa parlamentaria que integra el ius in officium por parte de los acuerdos impugnados, haciéndolo en un doble sentido: De una parte, porque no ha asignado un asistente para la portavocía del grupo y, de otro lado, porque, por primera vez, la mesa ha limitado a uno los asistentes a un grupo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recurre en este caso a los usos parlamentarios y a los precedentes que ha aportado documentalmente, señalando que el estatuto del personal antes citado prevé dotar de asistentes, no solo a cada grupo de la Cámara, sino también a los portavoces. “En este sentido, los usos parlamentarios interpretativos del precepto reglamentario y del artículo 7 bis del estatuto son absolutamente incontestables” y, a tal afecto, hace una detallada descripción del número de asistentes que fueron asignados a los grupos parlamentarios y a sus portavoces, incluido el mixto, en precedentes legislaturas, siendo todos ellos en número superior 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añade que, del análisis de aquellos precedentes, “de nuevo no cabe duda de la existencia de un verdadero uso parlamentario de atribuir a cada grupo (con independencia del número de integrantes) un mínimo de dos asistentes. Así ha ocurrido en la totalidad de las legislaturas examinadas. De nuevo este uso se establece en defensa de las minorías para garantizarles un mínimo margen de actuación a través del personal de apoyo, con independencia del número de representantes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la demanda que “la única razón para apartarse en esta legislatura de la normativa y usos parlamentarios es la de materializar el estrangulamiento de la opción política de mi representada, plasmando ‘el cordón sanitario’ a que aludió la portavoz de uno de los grupos que apoyó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justifica la especial trascendencia constitucional del recurso en los siguientes supuestos de entre los que destacó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plantea un problema o una faceta de un derecho fundamental susceptible de amparo sobre el que no hay doctrina de este tribunal. Identifica la concurrencia de este motivo en que, a su parecer, no existe doctrina constitucional “en el que la mayoría parlamentaria llega a un acuerdo para aplicar un ‘cordón sanitario’ sobre una opción política minoritaria y, contrariando frontalmente las normas parlamentarias, impide el ejercicio del derecho de participación por el representante electo”, en la forma que se indica en la demanda (restringiendo tiempos de intervención en los debates, limitando iniciativas, impidiendo la utilización de las siglas propias que le identifican con su electorado y recortando los medios personales de los que pueda disponer el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segundo término, el recurso “plantea un problema o una faceta de un derecho fundamental susceptible de amparo sobre el que no hay doctrina del Tribunal Constitucional”, toda vez que, al tener la particularidad de que no interviene la jurisdicción en este tipo de recursos de amparos, estos “se hallan en una posición especial a la hora de determinar su dimensión objetiva respecto de la valoración de la especial trascendencia constitucional por parte de este tribunal […] dada la repercusión general que tiene el ejercicio de la función representativa y que excede del ámbito particular del parlamentario y del grupo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demanda solicita la estimación del recurso de amparo por la apreciada vulneración del derecho de participación política del art. 23 CE y la anulación de los acuerdos de la mesa del Parlamento Vasco impugnados, de 13 de agosto y 8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dice la demanda solicitó inaudita parte la suspensión cautelar de la ejecución del acuerdo de 13 de agosto de 2020, en lo que se refiere al establecimiento de los órdenes del día y los tiempos de debate en las sesiones plenarias (propuesta 2020/2094), al amparo de lo dispuesto en el art. 56.6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3 de marzo de 2021, la Sección Cuarta de la Sala Segunda de este tribunal acordó admitir a trámite el recurso de amparo apreciando que en el mismo concurre una especial trascendencia constitucional (art. 50.1 LOTC), por cuanto “el asunto suscitado trasciende del caso concreto, toda vez 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remitir atenta comunicación al Parlamento Vasco, a fin de que, en el plazo de diez días, remitiera certificación o fotocopia adverada de las actuaciones correspondientes a los acuerdos de la mesa de 13 de agosto y de 8 de septiembre de 2020. Del mismo modo, se debía emplazar a quienes hubieran intervenido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la providencia dispuso que la Sección no apreciaba la urgencia excepcional a que se refiere el art. 56.6 LOTC, por lo que no procedía resolver inaudita parte, dado que el asunto presenta elementos sustantivos específicos que abogan por un estudio meditado y contradictorio de la medida cautelarísima instada. Sin embargo, acordó, también, que procedía formar la oportuna pieza separada de suspensión y, a tal fin, conceder un plazo de tres días al Ministerio Fiscal y al grupo parlamentario solicitante de amparo para que efectuaran las alegaciones que estimaran procedentes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formada la pieza separada de medidas cautelares y despachado el oportuno trámite de audiencia al Ministerio Fiscal y al grupo parlamentario recurrente, la Sala Segunda dictó el ATC 42/2021, de 19 de abril, por el que denegó la suspensión cautelar de la ejecución del acuerdo relativo a la propuesta 2020/2094, de 13 de agosto de 2020, de la mesa del Parlamento Vasco, por el que se establecen los órdenes del día y los tiempos de debate en las sesiones plenarias.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24 de marzo de 2021, tuvo entrada en el registro de este tribunal escrito presentado por el letrado don Andoni Iturbe March, en nombre y representación del Parlamento Vasco, solicitando que se le tuviera por comparecido y parte en las actuaciones, al tiempo que, en sucesivos anexos, aportó la documentación que había sido requerida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abril de 2021, la secretaría de justicia de la Sala Segunda tuvo “por personado y parte en el procedimiento al letrado don Andoni Iturbe March, en nombre y representación del Parlamento Vasco, acordándose entender con él las sucesivas actuaciones”. Asimismo,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25 de mayo de 2021, quedó registrado en este tribunal el escrito de alegaciones del letrado del Parlamento Vasco en el que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destacar los antecedentes de hecho que ha tenido por conveniente, el escrito del Parlamento Vasco contiene la siguiente argumentación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realizando unas consideraciones generales sobre el carácter del Grupo Mixto dentro de un determinado órgano parlamentario y, a partir del texto de los arts. 24.1 y 25.1 RPV, que cita, señala que la formación del Grupo Mixto “es automática, y se produce tan pronto como exista alguna parlamentaria o parlamentario que no se hubiera integrado en un grupo parlamentario”. Subraya que esta modalidad de grupo parlamentario “es un grupo de formación reglamentaria”, de tal manera que los diputados no inscritos en un grupo parlamentario pasan a integrarse ope legis en el Grupo Mixto, sin que en el Reglamento del Parlamento Vasco exista la figura del parlamentario no adscrito. Además, aquellos representantes que se integran en el Grupo Mixto de la Cámara vasca “lo hacen a título individual, no en condición de miembros de ninguna formación política” y que “la participación de los miembros del Grupo Mixto en las comisiones, debates y órganos parlamentarios dependerá del número de miembros que lo conformen, y corresponderá a sus miembros establecer su organización interna y la aprobación de su reglamento interno de funcionamiento, algo que debe contar asimismo con el acuerdo de la mesa (artículo 25.5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alega el escrito, el “Grupo Mixto es el instrumento creado por el reglamento para dotar a las parlamentarias y parlamentarios, que no pueden integrarse en un grupo parlamentario, de una homogeneidad artificial a fin de que puedan disfrutar de las ventajas que el reglamento ofrece al resto de los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su naturaleza jurídica, destaca el escrito que “el Grupo Mixto es un órgano más de la Cámara, un órgano interno”. Se trata de “una cláusula de cierre del sistema, un instrumento técnico o modo de garantizar la participación de las minorías en la actividad de las cámaras grupocráticas”. Ahora bien, según refiere, este grupo, en virtud de su naturaleza tiene “una redoblada sumisión al derecho parlamentario que se manifiesta, por un lado, en la necesidad de que su regulación se adapte a principios democráticos y, por otra parte, en la tutela que sobre él ejercen los órganos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que el art. 25.1 RPV “es un remedo, aunque con una técnica legislativa deficiente, del artículo 29 RCD [Reglamento del Congreso de los Diputados] que textualmente dice: ‘Todos los grupos parlamentarios, con las excepciones previstas en el presente reglamento, gozan de idénticos derechos’”. Defiende, en este sentido que lo que ambos preceptos “reflejan es el principio de igualdad entre los grupos parlamentarios”, de tal manera que, con cita del profesor Rubio Llorente, se trata de “‘una igualdad de segundo grado e imperfecta puesto que las diferencias existentes entre los grupos’ hacen que la igualdad solo sea posible como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defiende que “las diferencias entre los grupos existen, y estas vienen dadas por el número de miembros que los integran, criterio coherente con el principio del pluralismo político del artículo 1.1 CE y con el derecho de representación” del que son titulares los diputados que integran los grupos parlamentarios. Además, una interpretación literal del término “identidad” del art. 25.1 RPV “es contradictoria con la propia existencia y regulación del Grupo Mixto” y con los principios democrático y de proporcionalidad que deben regir las actuaciones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se destaca que la parlamentaria del Grupo Mixto forma parte de todos los órganos parlamentarios, incluida la Diputación Permanente, con la posibilidad de intervenir en todos los asuntos que se traten en la Cámara. En consecuencia, la diputada de Vox “goza de un evidente trato de favor, desproporcionado con respecto a su apoyo electoral y representación política”. Añade que, “en la base de este razonamiento se encuentra un principio básico: son las parlamentarias y parlamentarios los titulares del derecho de participación política y no los grupos parlamentarios a través de los cuales se organiza la actividad de la Cámara. La igualdad en la representación (artículo 23 CE) debe ser predicada del titular del derecho”. A su parecer, abunda en esta interpretación la STC 214/1990, de 20 de diciembre en la que, según destaca el escrito del letrado “se desestima que el Grupo Mixto deba estar presente necesariamente en todas las comisiones u obtener unas subvenciones económicas equivalentes a las de los restantes grupos”, pues “ello puede resultar atentatorio contra el principio de proporcionalidad. La igualdad entre los grupos no puede significar que independientemente del número de miembros, deban tener idéntica posición en todos los trámites de la Cámara, pues ello iría en detrimento de la igualdad [de] las parlamentarias y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apartado del escrito, dedicado a la eventual “vulneración del derecho de participación política en condiciones de igualdad” alegada por los recurrentes, defiende que el Reglamento del Parlamento Vasco opta “por favorecer la participación política de las minorías utilizando un expediente técnico como es el Grupo Mixto”. Pero lo dicho “no empece para no tener en cuenta que deba mantenerse el principio de igualdad” entre todos los diputados de la Cámara. La participación política de las minorías, “que debe preservarse como principio fundamental del ordenamiento jurídico y del funcionamiento parlamentario, no puede poner en cuestión la igualdad en el derecho de participación entre todas las parlamentarias y parlamentarios”. Debe tenerse en cuenta “la importancia numérica de cada uno de los grupos, reflejo de la representatividad democrática obtenida en las correspondientes elecciones. Lo contrario supondría una gravísima quiebra no solo de la igualdad entre los miembros de la Cámara, sino incluso de la propia democracia entendida como un gobierno de las mayorías con respeto hacia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doctrina constitucional relativa al principio de igualdad, el letrado defiende que “la diferencia del número de miembros entre el Grupo Mixto, que cuenta con un único miembro y el resto de los grupos parlamentarios, es un hecho objetivo y razonable a la hora de modular la participación de la parlamentaria ahora recurrente”. La diferencia en la participación de los diputados que pertenecen a otros grupos y la ahora recurrente, encuadrada en el Grupo Mixto, “es abismal”. Señala que “el pluralismo político permite que la participación de las minorías quede reforzada pero no puede llegar hasta el extremo de distorsionar los resultados electorales” que son el reflejo de la voluntad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evitar que una interpretación literal del reglamento conduzca a resultados desproporcionados o injustos. Desde este punto de vista un acuerdo de la mesa que adecue la intervención de la parlamentaria del Grupo Mixto a su representatividad democrática ‘no puede tenerse por vulnerador del derecho fundamental que al recurrente, como único componente del Grupo Mixto, le reconoce el art. 23.2 de la CE, ya que con la decisión de la mesa no se le priva de ejercer las funciones de su cargo de diputado sin perturbaciones legítimas y de conformidad con lo dispuesto en el reglamento’ (STC 214/1990, de 20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continúa destacando que el acuerdo de la mesa “pretende atemperar las facultades de actuación del Grupo Mixto en los plenos de la Cámara”. A tal efecto, señala que el acuerdo tomó en consideración la propuesta de la junta de portavoces de 13 de agosto de 2020, que es a la que corresponde “fijar los criterios que contribuyan a ordenar y facilitar los debates y tareas del Parlamento” (art. 41.6 RPV). El acuerdo atiende a esta finalidad, la de ordenar los debates y facilitar las tareas en los plenos de la Cámara, no a limitar la participación y a privar de sus derechos a la diputada recurrente, “que es miembro de todas las comisiones, participa en la junta de portavoces, presenta ante la mesa cuantas iniciativas desea o enmienda cuantas iniciativas quiera”. En definitiva, se respeta su derecho de participación política y se hace prevalecer el principio del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que lo “que, en realidad, se recurre es una mera cuestión ‘técnica’, aquella que consiste en confeccionar el orden del día, en el que se pueden y se deben establecer cuotas que lógicamente guardarán ‘alguna’ proporcionalidad con la dimensión de cada grupo parlamentario”. La diputada recurrente “debe priorizar y seleccionar las iniciativas que pretenda debatir. El tiempo es limitado y la ‘agenda’ del Parlamento no puede venir marcada en la misma medida por un grupo parlamentario que cuente con los miembros precisos para constituirse que por el Grupo Mixto, constituido por una única parlamentaria”. Además, las limitaciones únicamente lo son para los plenos, no para las reuniones de las comisiones, “donde puede presentar y debatir cuantas iniciativas 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letrado del Parlamento Vasco señala que el texto en euskera del art. 25.1 RPV utiliza el término “bezalaxe” que “remite más a una participación análoga que idéntica, ya que en tal caso debiera haberse empleado el término ‘bezalakoxe’. Es, por ello que, de una manera más correcta, el texto en euskara se refiere a una actuación análoga y no idéntica en lo que a la participación del Grupo Mixto se refiere”. Pone de manifiesto, en este sentido, que “la STJUE de 15 de noviembre de 2012 TJCE\2012\348 Caso SIA Kurcums Metal contra Valsts ienermumu Dienests” señala que “según reiterada jurisprudencia, la formulación utilizada en una de las versiones lingüísticas de una disposición del Derecho de la Unión no puede constituir la única base para la interpretación de dicha disposición; tampoco se le puede reconocer carácter prioritario frente a otras versiones lingüísticas. En efecto, este enfoque sería incompatible con la exigencia de uniformidad en la aplicación del Derecho de la Unión. Así pues, en caso de divergencia entre versiones lingüísticas, la disposición de que se trata debe interpretarse en función de la estructura general y de la finalidad de la normativa en que se integra” (FJ 48 de la indicada resolución del Tribunal de Justicia de la Unión Europea). En apoyo de este planteamiento, cita la STC 83/1986, de 26 de junio, FJ 3, en relación con la interpretación por los órganos judiciales de elementos de los textos legales en dos lenguas cooficiales (en el caso de referencia, catalán y castellano), aplicando en tal caso el art. 3.1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alega el escrito que la interpretación realizada por la mesa en relación con la participación del Grupo Mixto en la actividad de la Cámara vasca “no es ajena a su proceder anterior, ni a los debates que en su seno se han producido”. Destaca, al respecto, que “en su reunión de 2 de febrero de 2012” la mesa acordó elevar a la junta de portavoces una propuesta de establecimiento de cupos de iniciativas para los plenos ordinarios en que se establecía que, por cada dos de estos plenos cada grupo parlamentario dispondría del siguiente cupo de iniciativas que oscilaban entre las cinco asignadas al Grupo “NV” y las dos atribuidas a los Grupos de Aralar y Mixto, con la garantía de que todos los grupos podrían incluir la sustanciación de, al menos, una iniciativa en cada sesión plenaria (se acompaña como anexo 2 al escrito). El establecimiento de cupos es una práctica que “está extendida por todos los parlamentos autonómicos, así como en las Cortes Generales, donde al comienzo de cada legislatura la junta de portavoces” del Congreso de los Diputados y del Senado establecen las cuotas asignadas a cada grupo respecto de las iniciativas que podrán incluirse en el orden del día de los Plenos. (Cita como ejemplo el acuerdo de la junta de portavoces del Congreso de los Diputados de 4 de febrero de 2020, o la resolución de la Presidencia del Congreso de los Diputados de 4 de febrero de 2020, por la que se modifica una resolución anterior de 10 de junio de 2008, sobre desarrollo del art. 188 del Reglamento del Congreso, relativo a preguntas para respuesta oral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Parlamento Vasco, “la junta de portavoces no adoptó finalmente ningún acuerdo al respecto, aunque la interpretación que propugnaba la mesa ha estado tácitamente presente a la hora de organizar los debates en el pleno de la Cámara”. Cita como precedente que el diputado por UPyD en la X legislatura, que fue el único integrante del Grupo Mixto, “no incluyó nunca más de una proposición de ley por cada pleno celebrado” (anexo 3 al escrito de alegaciones presentado por el letrado del Parlamento Vasco). “No se puede entender, por todo lo dicho, que exista un uso parlamentario como el alegado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apartado el representante del Parlamento Vasco alegando que “los usos parlamentarios no generan normas con rango de ley (STC 119/1990, de 21 de junio, FJ 4) por lo que no podrían ser alegados como configuradores del derecho de participación política” porque se trata de un derecho de configuración legal. En todo caso, estos usos estarían siempre subordinados al Reglamento de la Cámara (cita la STC 177/2002, de 14 de octubre, FJ 7). Si bien, los usos parlamentarios tienen un evidente significado en el funcionamiento de las cámaras (STC 124/2018, de 14 de noviembre, FJ 2), “su aplicación no puede poner en cuestión principios como el de igualdad”, y su aplicación debe hacerse respecto de parlamentarios y parlamentarias en activo, con mandato actual y no con respecto a actuaciones pretéritas, cuyo punto de comparación no es adecuado para la elaboración de un correcto juicio de igualdad en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sobre la denominación del grupo parlamentario de la recurrente como “Grupo Parlamentario Mixto”, alega el letrado del Parlamento Vasco que el Grupo Mixto en la XII legislatura “está constituido por una única parlamentaria. Su identificación no crea ningún problema ni confusión, ya que únicamente ella puede presentar las iniciativas del Grupo Mixto”, lo que no ocurriría si el grupo citado estuviera constituido por varios miembros, lo que sí obligaría a distinguir quién fuera el autor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para integrarse en el Grupo Mixto no es precisa ninguna actuación y que los diputados que formen parte del mismo lo hacen a título individual, no en condición de miembros de alguna formación política. “El Reglamento del Parlamento Vasco no establece el derecho de los miembros del Grupo Mixto a una denominación ad libitum, algo que se exige para el resto de los grupos parlamentarios (artículo 24.4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denominación de los grupos parlamentarios es un asunto marcadamente organizativo e interno de la Cámara. Donde realmente importa el derecho al nombre o a la identidad, a que un partido político sea identificado por la opinión pública es extramuros del Parlamento, y allí es a los medios de comunicación y a las redes sociales a quienes corresponde reflejar la relación de las actuaciones de un grupo parlamentario con la fuerza política que se presentó a las elecciones”. A la recurrente le corresponde probar que la denominación de “Grupo Mixto” le “priva o le resta difusión en términos significativos, algo que en ningún caso demuestra”.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 el escrito que no se produce restricción del derecho de participación política de la recurrente por la denominación asignada puesto que no existe tal derecho “al no estar recogido reglamentariamente, y la motivación de la mesa, a pesar de lo escueto, no deja de ser adecuada, dado por otra parte lo escueto del escrito en el que se solicita el cambio de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letrado del Parlamento Vasco se refiere a la queja de los demandantes relativa al “número de asistentes asignados al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dicción del art. 28.2, párrafo segundo RPV que prevé la asignación del personal técnico-administrativo a los grupos parlamentarios, según su representación proporcional, por decisión de la mesa, previo acuerdo de la junta de portavoces, el letrado señala que la argumentación de los recurrentes incurre “en la confusión de normas que obedecen a regulaciones diversas y a competencias normativas diferentes”. A tal efecto, el Estatuto de personal y régimen jurídico de la administración parlamentaria, [aprobado en 1990 y modificado el 9 de marzo de 2006 por acuerdo de la Comisión de Urgencia Legislativa, Reglamento y Gobierno (“Boletín Oficial del Parlamento Vasco” núm. 41, de 24 de marzo de 2006)] “difícilmente puede dictarse como consecuencia de la ‘escueta’ regulación del RPV aprobado el año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precitado estatuto “no puede establecer qué personal eventual debe nombrarse, o si los portavoces deben contar o no con asistentes. Su competencia debe limitarse a establecer el régimen jurídico del personal eventual y establecer qué puestos pueden estar reservados en la relación de puestos de trabajo al personal eventual” (cita, al respecto, los arts. 7 bis y 13 de este estatuto). Es el Reglamento del Parlamento Vasco la única norma competente para establecer “el modo en que debe procederse para distribuir el personal de apoyo a los grupos parlamentarios”, haciéndolo en el art. 28.2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señala, fue el acuerdo de la mesa de 13 de agosto de 2020, previa audiencia de la junta de portavoces, el que estableció la distribución de asistentes entre los grupos parlamentarios para la XII legislatura, en proporción a la representación que aquellos tenían, correspondiéndole al Grupo Mixto, constituido por un escaño, un asistente. Se destaca en el escrito que al grupo de EAJ-PNV, de treinta y un escaños, le correspondieron trece asistentes; al de EH-Bildu, de veintiún escaños, diez asistentes; al de PSE-PSOE, de diez escaños, siete asistentes; al de EP-IU, de seis escaños, cinco asistentes y al del PP+CS, de seis escaños, cinco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escrito que “la distribución no solo es equilibrada, sino que desde el punto de vista de la proporcionalidad otorga un mayor apoyo al Grupo Mixto, al que debiera haberle correspondido un asistente a media jornada si se hubiese aplicado un criterio de identidad” y que ningún otro grupo parlamentario llega a un asistente por diputado como sucede con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existencia de “un supuesto uso parlamentario interpretativo en el sentido de atribuir a cada portavoz un asistente, pues es a la mesa y a la junta de portavoces a quienes corresponde, a la vista de los escaños obtenidos por cada grupo parlamentario”, la distribución de asistentes en función de su representación. Igualmente, considera no existe un uso parlamentario en el que deba atribuirse a cada grupo un mínimo de dos asistentes, contrariamente a lo establecido en el Reglamento del Parlamento Vasco, pues se trataría de una interpretación “que hace caso omiso a lo establecido en el artículo 28.2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todas las consideraciones expuestas, el letrado del Parlamento Vasco solicita la desestimación de esta última queja y de todo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25 de mayo de 2021 tuvo entrada en el registro de este tribunal el escrito de alegaciones de la representación de los recurrentes, Grupo Parlamentario Mixto en el Parlamento Vasco y la diputada en dicho Parlamento doña Amaia Martínez Grisaleña.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escrito, además de ratificar el contenido de la demanda, la referida representación ha aportado una documentación que, a su parecer, recoge “la forma en que la mayoría en el Parlamento Vasco está aplicando el ‘cordón sanitario’ diseñado específicamente para silenciar a la representante electa del partido político Vox y cercenar el derecho de participación política de la misma y de los electores que depositaron en ella su confianza”. Destaca, en este sentido, que, “en un mes concreto, el GP Mixto solo pudo presentar una iniciativa, frente a las 6 que pudieron presentar cada uno de los restantes GP”, lo que, a su parecer, significa que el Grupo Parlamentario Mixto tiene una participación “6 veces inferior al resto de Grupos”. Lo mismo pone de relieve respecto de los tiempos de intervención, que son de quince minutos para los restantes grupos y de tan solo cinco para el Grupo Parlamentario Mixto. Según refiere, “iguales restricciones” ha sufrido en los plenos de control al Gobierno y en las comisiones. Completa la citada documentación con reseña de medios de comunicación vascos sobre el aludido “cordón sanitario” que alega que sufre.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30 de julio de 2021 quedaron registradas en este tribunal las alegaciones del Ministerio Fiscal, en las que propugna la estimación parcial del recurso de amparo y la anulación de los acuerdos de la mesa del Parlamento Vasco impugnados en dos de las quejas suscitadas.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hacer una detallada exposición de los antecedentes, el fiscal comienza el análisis del recurso partiendo del reconocimiento de la legitimación del Grupo Parlamentario Mixto de una cámara legislativa para poder formular demanda de amparo (cita la STC 33/2010, de 19 de julio, FJ 3), así como de la doctrina de este tribunal sobre el derecho de participación política de los representantes parlamentarios (menciona la STC 115/2019,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detiene en el análisis de la primera de las quejas deducidas en la demanda y, para ello, hace un exhaustivo repaso de la denuncia formulada por la demanda y de la respuesta ofrecida por los dos acuerdos parlamentarios impugnados en relación con los tiempos de intervención y posibilidades de iniciativas parlamentarias que le fueron reconocidos a la actora en cuanto integrante del Grupo Mixto de la Cámara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que “el derecho de iniciativa legislativa, las preguntas, interpelaciones y proposiciones de ley y no de ley forman parte del ius in officium de los representantes y de las facultades parlamentarias de los propios Grupos e integran el núcleo de su función representativa parlamentaria […] cualquier supresión o restricción de estas facultades parlamentarias desconocería el derecho fundamental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alega que, de la mera lectura del texto del acuerdo de la mesa del Parlamento Vasco de 13 de agosto de 2020, “se advierte que el tratamiento del Grupo Parlamentario Mixto, respecto del resto de los grupos parlamentarios, supone un trato diferenciado y conlleva una reducción y limitación de las iniciativas parlamentarias frente al resto de grupos de la Cámara vasca”. Tales limitaciones, sin embargo, no suponen una eliminación de aquellas facultades de iniciativa parlamentaria, “simplemente se las restringen”, aunque puntualiza que es precisamente el objeto de la pretensión del recurso determinar si dicha restricción supone una vulneración del derecho de participación política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señala que “[e]s claro que estas limitaciones a una de las minorías de la Cámara, impuesta por el resto de los grupos […], limitando sus iniciativas parlamentarias a un tercio de los demás grupos, coloca a estos representantes en una posición de inferioridad y desigualdad lesiva del art. 23.2 CE” y cita, al respecto, la STC 10/2016, de 1 de febrero, FJ 4. Al respecto, agrega, que el art. 25 RPV no establece diferencia alguna a la hora de atribuir estas facultades a los grupos parlamentarios y, aunque la autonomía parlamentaria, que supone otorgar a los Parlamentos y a sus órganos rectores un margen de aplicación en la interpretación de la legalidad parlamentaria (STC 242/2006, de 24 de julio), ello “no implica que estas facultades de autodeterminación organizativa sean ilimitadas, sino que encuentran su límite en el respeto a los derechos de los parlamentarios (STC 141/2007)”.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hasta ahora expuesto, el fiscal dice que “basta con la lectura de la propuesta para advertir que se establece una desigualdad de trato del Grupo Parlamentario Mixto y, consiguientemente, de la diputada que lo integra, respecto de los demás grupos parlamentarios de la Cámara, pues, en esencia, la actividad parlamentaria de estos se ve reducida a un tercio de las posibilidades de iniciativas parlamentarias del resto de los grupos […] lo que permite afirmar, inicialmente, que se quiebra la garantía de igualdad contenida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Combate el fiscal la tesis sostenida por la mesa de que, por la interpretación combinada de los arts. 24 y 25 RPV, la participación del Grupo Mixto en las funciones parlamentarias deba ser proporcionada al número de parlamentarios que lo integren, en este caso una sola parlamentaria, y destaca, al respecto, que “[e]l tratamiento de las facultades que asisten al Grupo Mixto y a sus integrantes se hace desde la óptica de la igualdad, por eso que el reglamento otorga al Grupo Mixto los mismos derechos que a cualquier otro grupo parlamentario sin distinguir el número” de los que lo integren ni tampoco su pertenencia al mismo o a otro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este razonamiento sobre la base de que, aunque el reglamento exija un número de tres diputados para constituir un grupo parlamentario y, en el caso de autos, el Grupo Mixto solo figure integrado por una diputada, dicho número “no es motivo para establecer una discriminación de trato de este grupo parlamentario con los demás grupos de la Cámara ya que no es el número de diputados el que determina las atribuciones parlamentarias y facultades que se otorgan al Grupo Mixto sino su consideración como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semejante conclusión llega el fiscal con los tiempos de intervención concedidos por la mesa a la parlamentaria recurrente, cuando, según refiere, el art. 25.3 RPV establece una intervención igualmente idéntica a la del resto de grupos; de ahí que, aunque el acuerdo resolutorio de la reconsideración no haga mención a este extremo de la queja, advierte aquel que “la Mesa de la Cámara vuelve a desconocer la previsión reglamentaria, en este caso, contenida en el art. 25.3 RPV”, generándole a aquella “una discriminación de trato entre este grupo parlamentario y el resto de los grupos de la Cámara”. Tal circunstancia “aparece como un obstáculo que puede incidir en un suficiente y adecuado desarrollo de la postura del grupo y la parlamentaria frente a iniciativas propias o de otros grupos y parlamentarios”. La asignación a la recurrente de un tiempo de intervención reducido a un tercio respecto de los demás grupos parlamentarios “introduce una discriminación entre los grupos parlamentarios del Parlamento Vasco y quiebra la igualdad que debe presidir la actividad parlamentaria desconociendo, una vez más, el derecho reconocido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fiscal que la igualdad que el Reglamento del Parlamento Vasco establece entre todos los grupos parlamentarios “se ve alterada por el acuerdo de la mesa de la Cámara que acude a un criterio de proporcionalidad, en atención al número de diputados mínimo para formar grupo parlamentario y al número de integrantes del Grupo Mixto, que utiliza como términos de comparación, para determinar los órdenes del día y los tiempos de los debates”, que provoca un trato diferencial que quiebra la igualdad en el ejercicio del derecho de participación política de la recurrente, imponiéndole esta limitación “con carácter general para toda la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fiscal analiza la segunda de las quejas de la demanda, atinente a la reclamada denominación como “Grupo Mixto-Vox” por parte de los recurrentes y a que los acuerdos impugnados no hayan accedido a esta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que, dado que la demanda trae a colación la vigencia de los usos parlamentarios al hilo de que, en anteriores legislaturas, el Grupo Mixto integrado por un solo representante asumió la denominación de la formación política que lo integraba, comienza el fiscal con la cita de la doctrina de este tribunal sobre aquellos (STC 76/2017, de 19 de junio, FJ 4), para después afirmar que “[e]s evidente que la denominación del GP Mixto como GP Mixto Vox no afecta al núcleo fundamental del ius in officium de la recurrente”, pero, a continuación, advierte que “dicha denominación no es intrascendente para su única integrante que fue elegida en las listas electorales del partido político Vox, pues permite a la ciudadanía conocer de manera más precisa cual es la actuación parlamentaria de aquella, como partido político Vox, en la actividad parlamentaria del Parlamento Vasco”. Razona, por ello, el fiscal que, si bien la eventual integración en el Grupo Mixto de representantes de distintas formaciones políticas pueda justificar que la denominación que le asigna el Reglamento del Parlamento Vasco a este grupo parlamentario sea la del Grupo Mixto, sin ninguna sigla y que sea, mediante la normativa interna del grupo que elaboren sus miembros la que rija el funcionamiento del mismo, si el Grupo Mixto está integrado en este caso por una única diputada, “no es ajena a un interés legítimo […] que su actuación parlamentaria se asocie por sus representados y la ciudadanía en general, al partido político por el que la única integrante del GP Mixto fue elegida y aspire a la preservación de su identidad ante el electorado con ocasión de su labor parlamentaria en el Parlamento Vasco. Aspiración legítima, que no puede obviarse para que la opinión pública conozca la actividad que el partido político desarrolla en la Cámara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que el hecho de que el Reglamento del Parlamento Vasco sí lo prevea para el resto de los grupos parlamentarios la denominación propia de cada formación política y que tampoco lo prohíba en relación con el Grupo Mixto, tal silencio normativo no impide, a juicio del fiscal, que al partido Vox, en aplicación de los usos parlamentarios apreciados en las legislaturas VIII y X, le pueda ser permitido llevar también la denominación de la formación política por la que ha concurrido la demandante. Este uso parlamentario “no se contradice con el reglamento ni supone un impedimento u obstaculización desproporcionada de las facultades reconocidas a los parlamentarios en el ejercicio de sus funciones constitucionalmente garantizadas ni una discriminación o afectación a los demás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los argumentos esgrimidos por los acuerdos de la mesa para denegar la denominación solicitada, toda vez que la mera remisión a lo que dice el Reglamento del Parlamento Vasco sobre este extremo, así como la improbable posibilidad de que se pudieran constituir subgrupos dentro de este grupo parlamentario cuando su integrante es una sola persona, no tienen, a su juicio, suficiente eficacia suasoria para rechazar aquella petición. En cambio, la constatación de un uso parlamentario, que es complemento del Reglamento del Parlamento Vasco y que no se opone a lo dispuesto en el mismo, unido a que la norma reglamentaria “reconoce al GP Mixto el mismo tratamiento parlamentario que al resto de grupos parlamentarios para desarrollar su labor parlamentaria”, le llevan a la conclusión de que, también en esta cuestión, los acuerdos impugnados han vulnerado el derecho del art. 23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que “la mesa no ha expuesto una motivación suficientemente razonable y convincente para excluir esta posibilidad que la práctica parlamentaria ha permitido en legislaturas anteriores”. Y que, “al apartarse la mesa de la Cámara de la práctica parlamentaria señalada, estaría desconociendo la garantía de igualdad que preside el derecho fundamental de los recurrentes respecto de los parlamentarios que se integraron en el Grupo Mixto en legislaturas anteriores a los que desarrollaron su labor parlamentaria como Grupo Mixto con la denominación de la formación política por la que fueron elegidos”.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fiscal se refiere a la tercera de las quejas formuladas en la demanda, atinente a la denegación de los tres asistentes que solicitó la diputada de Vox, habiéndole sido concedido un único empleado para auxiliarle en sus labores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una pormenorizada cita del art. 28 RPV y del Estatuto del personal y régimen jurídico de la administración parlamentaria, así como de la relevancia que tiene este personal auxiliar para el buen desenvolvimiento del trabajo parlamentario por parte de los diputados de la Cámara, señala el fiscal que la demanda de amparo presenta “un déficit argumental”, pues, a su juicio, “los recurrentes no señalan los concretos perjuicios que para el desarrollo de su labor de representación política ha supuesto o está suponiendo el hecho de que solo se le haya asignado 1 asistente”. El uso parlamentario invocado por los recurrentes para sustentar su argumentación “no aparece acreditado en el presente recurso de amparo, por lo que no puede afirmarse que el acuerdo de la mesa podría [pudiera] haber vulnerado una práctica parlamentaria que no se acredita”. En consecuencia, el fiscal no aprecia vulneración del derecho de participación política de los recurrentes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diligencia de 13 de septiembre de 2021 de la secretaría de justicia de la Sección Cuarta, se hace constar que se han recibido los escritos de alegaciones del Ministerio Fiscal, del procurador señor Ortega Fuentes y del letrado del Parlamento Vasco en contestación al traslado conferido, quedando el recurso de amparo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en sesión celebrada el día 24 de enero de 2022, acordó proponer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10 de febrero de 2022, el Pleno de este tribunal acordó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9 de marzo de 2022,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interpuesto, de conformidad con el art. 42 LOTC, por la representación conjunta de doña Amaia Martínez Grisaleña, diputada de la formación política Vox en el Parlamento Vasco y por el Grupo Mixto de la citada Cámara, integrado por aquella en calidad de único miembro, tiene por objeto la impugnación de los acuerdos de la mesa del Parlamento Vasco de 13 de agosto y 8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aquellos acuerdos estableció: (i) los órdenes del día y los tiempos de debate en las sesiones plenarias de la legislatura, asignando al Grupo Mixto, integrado por la citada diputada de Vox, un régimen de intervenciones e iniciativas parlamentarias con las que esta no estaba de acuerdo; (ii) le denegó la denominación de Grupo Parlamentario Mixto-Vox, que había solicitado, quedando únicamente con la referencia de Grupo Mixto. Y (iii) rechazó el número solicitado de tres asistentes colaboradores, que limitó 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los acuerdos impugnados desestimó la solicitud de reconsideración formulada por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que los acuerdos de la mesa del Parlamento Vasco han vulnerado el ius in officium de la actora, en cuanto integrante del Grupo Mixto de la Cámara vasca, porque: (i) le han reducido desproporcionadamente sus posibilidades de planteamiento de iniciativas e intervenciones parlamentarias cuando el reglamento parlamentario prevé que el Grupo Mixto disponga de “idénticas” posibilidades que el resto de grupos de aquella Cámara; (ii) le ha sido impedido utilizar la denominación de Grupo Mixto-Vox, cuando es la única diputada integrada en dicho grupo y los usos parlamentarios, no prohibidos por el Reglamento de la Cámara, han permitido en legislaturas anteriores aquella denominación a otras configuraciones del Grupo Mixto con un único diputado; y (iii) le ha sido asignado un único asistente colaborador frente a los que, conforme a los usos parlamentarios, le habrían permitido hasta tres empleados.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Parlamento Vasco interesa la desestimación del recurso, mostrando su expresa conformidad con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interesa la estimación parcial del recurso de amparo, porque entiende que el ius in officium de la parlamentaria y del Grupo Mixto en que esta se halla integrada ha sido vulnerado por los dos primeros acuerdos precitados, pero no, en cambio, por el tercero, pues, respecto de este último, los actores no han aportado carga argumental suficiente para justificar que la asignación de un asistente haya vulnerado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aunque ninguna de las partes personadas, ni tampoco el Ministerio Fiscal, han objetado la especial trascendencia constitucional de este recurso, resulta obligado cumplir con las exigencias de certeza y buena administración de justicia que permiten hacer reconocibles los criterios empleados al efecto por este tribunal para acordar la admisión de los recursos de amparo (STEDH de 20 de enero de 2015, asunto Arribas Antón c. España, § 46). Por ello, este tribunal decidió admitir a trámite la demanda de amparo por providencia de 3 de marzo de 2021, apreciando que concurre una especial trascendencia constitucional (art. 50.1 LOTC) porque el asunto suscitado trasciende del caso concreto, pues puede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reiteradamente ha declarado este tribunal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susceptibles de fiscalización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 (por todas la STC 32/2017, de 27 de febrero, FJ 2, que cita una reiterada doctrina de este tribunal declarada en las SSTC 200/2014, 201/2014 y 202/2014, todas ellas de 15 de diciembre, FJ 2; 1/2015, de 19 de enero, FJ 2, y 23/2015,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considera que concurre la especial trascendencia constitucional en este recurso, al plantearse una cuestión sobre la que era preciso establecer un pronunciamiento constitucional; a saber: el derecho de participación política de los diputados que integran el Grupo Mixto de una Cámara legislativa, en este caso de un parlamento autonómico, su ejercicio y las funciones y facultades de iniciativa y actuación parlamentaria que les son reconocidas, así como, en el caso presente, la eventual extensión del ius in officium a otras como puedan ser la denominación de aquel Grupo Mixto en función de los miembros que lo integren y a los medios personales puestos a su disposición por la Cámara correspondiente, para que le puedan asistir en el ejercicio de aquellas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de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adentrarnos en el análisis de la problemática y de las pretensiones que, en relación a los derechos reconocidos en el art. 23 CE, plantea este recurso de amparo, es preciso recordar algunas consideraciones generales de la doctrina de este tribunal sobre la naturaleza, contenido y alcance constitucional del principio de autonomía parlamentaria, que resultan especialmente relevantes para la resolución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autonomía parlamentaria, reconocido por el art. 72.1 CE, se fundamenta en la necesidad de sustraer el Parlamento de posibles intromisiones de otros poderes del Estado que puedan afectar al desempeño de las funciones parlamentarias. Se trata de un mecanismo protector del órgano parlamentario, tradicional en nuestra historia constitucional y común en derecho comparado, que no supone huida del derecho, sino la existencia de un derecho propio elaborado por las Cámaras, o adoptado mediante importación selectiva o remisión a otras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principio incluye un conjunto de atribuciones, reconocidas en el citado art. 72.1 CE (en lo que atañe al Parlamento Vasco por el art. 27.1 del Estatuto de Autonomía del País Vasco, aprobado por Ley Orgánica 3/1979, de 18 de diciembre), que se extiende a tres grandes esferas de actuación: (i) la autonomía normativa, que comporta, en lo que ahora es de interés, el reglamento parlamentario, así como sus normas interpretativas y acuerdos de los órganos de las Cámaras; (ii) la autonomía presupuestaria, para la aprobación del propio presupuesto, y (iii) la autonomía administrativa, para ordenar su propia organización, su propio personal y elegir sus propios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su alcance, también este tribunal ha declarado que “el principio de autonomía parlamentaria, constitucional y, en este caso, estatutariamente garantizado, dota a la Asamblea legislativa de una esfera de decisión propia que únicamente puede ser sometida a la fiscalización de este tribunal en la medida en que por un acto de la Cámara se apliquen de manera desigual las normas que rigen su vida interior (art. 23.2 CE), o cuando del mismo resulte una lesión de la función representativa constitucionalmente encomendada a los parlamentarios que pueda repercutir en el derecho a la participación política de sus representados (art. 23.2 CE en relación con su párrafo primero). Solo cuando esto ocurre, lo interno (interna corporis acta) produce efectos externos y lo estrictamente parlamentario adquiere relevancia constitucional. En todo lo demás, el estatuto jurídico de los parlamentarios se configura ‘con arreglo a lo dispuesto en las leyes’ (art. 23.2 CE), esto es, según la regulación jurídica que la propia Cámara aprueba en el ejercicio de su facultad de autonormación constitucionalmente reconocida” (ATC 52/1994,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denominada “autonomía normativa”, el Tribunal ha destacado que este principio “dota a las Cámaras parlamentarias de una esfera de decisión propia (ATC 52/1994, de 16 de febrero, FJ 2) que se plasma especialmente en la autonomía reglamentaria (STC 234/2000, de 3 de octubre, FJ 12). Esta capacidad autoorganizativa exige que la Cámara disponga de la posibilidad de modificar las ‘reglas del juego que institucionalizan el debate político’ (SSTC 226/2004 y 227/2004, de 29 de noviembre, FJ 6), siendo contraria a ella la total petrificación del ordenamiento parlamentario interno a lo largo de la legislatura. Sin embargo estas facultades de autodeterminación organizativa encuentran su límite en el respeto a los derechos de los parlamentarios. Como hemos reiterado en diversas ocasiones, aunque compete también a los reglamentos parlamentarios fijar y ordenar, en determinadas materias, los derechos y facultades que corresponden a los distintos cargos y funciones públicas y que integran el derecho garantizado por el art. 23.1 CE, una vez creados quedan integrados en el estatus representativo. En efecto, conforme a la doctrina de este tribunal, la Constitución veta la privación o perturbación al representante político de la práctica de su cargo, introduciendo obstáculos que puedan colocar a unos representantes en condiciones de inferioridad respecto de otros. (SSTC 10/1983, de 21 de febrero; 32/1985, de 6 de marzo, FJ 3; 227/2004, de 29 de noviembre, FJ 2). El respeto a la autonomía parlamentaria lo es, sobre todo, a unas reglas de juego que institucionalizan el debate político y sobre cuyo contenido solo de manera excepcional puede extenderse nuestra jurisdicción. Pero es también respeto a las reglas mismas, incluso frente a quienes son los protagonistas del juego político que en ellas se desarrolla, a los que no puede estar permitida su alteración fuera del margen reglamentariamente establecido (STC 227/2004, de 29 de noviembre, FJ 6)” (STC 141/2007, de 18 de junio, FJ 5; en el mismo sentido, STC 49/2008, de 9 de abril,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denominada “autonomía normativa” de una cámara legislativa, en este caso del Parlamento Vasco, viene determinada por su propio reglamento interno y, una vez aprobado el mismo, las facultades de autodeterminación organizativa encuentran su límite en el respeto a los derechos de los parlamentarios, que integran su estatus representativo, así reconocido por el propio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ius in officium y su ejercicio en el seno del Grupo Mixto: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rúbrica incluimos, a continuación, un doble apartado de la doctrina constitucional sobre el derecho de participación política del art. 23 CE y su ejercicio por representantes parlamentarios, que es el invocado como vulnerado por los recurrentes. El primero de aquellos estará dedicado a recoger, a modo de síntesis, la doctrina general de este tribunal sobre el derecho de participación política de los parlamentarios. Por su parte, el segundo lo estará a las particularidades que reviste su ejercicio en el seno del Grupo Parlamentario Mixto, cuando aquellos representantes, en cuanto candidatos elegidos por una formación política que no ha obtenido suficiente representación parlamentaria para constituir un grupo propio, han de pasar a formar parte de aquel, en función de la previsión reglamentaria de que deban quedar integrados en un grupo y así reconocerles el ejercicio efectivo de sus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de modo reiterado, en relación con el derecho de participación política del art. 23 CE, que, cuando se trata del ejercicio de cargos públicos representativos, el derecho enunciado en el art. 23.2 CE ha de ponerse en conexión con el derecho de los ciudadanos a participar en los asuntos públicos por medio de representantes, libremente elegidos, del art. 23.1 CE. “Relación de obligada constatación si se tiene en cuenta que son los representantes, justamente, quienes actualizan aquel derecho de los ciudadanos a participar en los asuntos públicos […] De suerte que el derecho del artículo 23.2 CE, así como indirectamente el que el artículo 23.1 CE reconoce a los ciudadanos, quedaría vacío de contenido, o sería ineficaz, si el representante político se viese privado del mismo o perturbado ilegalmente en su ejercicio” (STC 159/2019, de 12 de diciembre, FJ 5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de participación política del cargo público representativo, cuyo ejercicio en sede parlamentaria integra el ius in officium del parlamentario, ha sido objeto de reiterada doctrina constitucional. Así, este tribunal ha declarado que “el del art. 23.2 CE es un derecho de configuración legal, cuyo contenido se extiende al acceso y permanencia en el ejercicio del cargo público, así como a desempeñarlo de acuerdo con la ley, sin constricciones o perturbaciones ilegítimas, correspondiendo establecer su delimitación, sentido y alcance a los reglamentos parlamentarios” [STC 168/2021, de 5 de octubre, FJ 3 B) a)]. “El legislador puede establecer libremente las condiciones que estime más adecuadas, si bien su libertad tiene limitaciones que son, de una parte, las generales que imponen el principio de igualdad y los derechos fundamentales que la Constitución garantiza y, de otra, cuando se trata de cargos públicos de carácter representativo, la necesidad de salvaguardar su naturaleza” [STC 159/2019, FJ 5 b) y las sentencias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precisado, en relación a la configuración legal de este derecho, que se trata de un concepto “en el que se incluyen los reglamentos parlamentarios, [para] ordenar los derechos y facultades que correspondan a los distintos cargos públicos y que pasan así a integrarse en el estatus propio de cada uno de ellos, con la consecuencia de que podrá su titular defender, al amparo de esta disposición constitucional, el ius in officium que estime ilegítimamente constreñido o ignorado por actos de los poderes públicos” (STC 137/2021, de 29 de junio, FJ 3); en particular, respecto de lo establecido en las normas internas parlamentarias y en los actos de aplicación de las mismas que lleven a efecto sus órganos, entre los que se encuentra, entre otros, la mesa de la Cámara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igualmente ha declarado este tribunal que “en el artículo 23.2 no ha asumido la Constitución un genérico derecho, con la condición de fundamental, al respeto de todas y cada una de las prescripciones de aquellos reglamentos, con la consecuencia de que el derecho de los representantes, y en particular su ius in officium, solo podrá considerarse violado si las aducidas contravenciones de las normas internas de las asambleas afectan al núcleo de los derechos y facultades de los representantes o, en otros términos, a su estatuto constitucionalmente relevante; normas internas, en fin, para cuya aplicación cuentan los órganos de las cámaras con un margen de interpretación que el Tribunal no puede dejar de reconocer (por todas, SSTC 109/2016, de 7 de junio, FJ 3; 139/2017, de 29 de noviembre, FJ 4, y 34/2018, de 12 de abril, FJ 4)” (STC 137/2021,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[por todas, STC 47/2018, FJ 3 b)]” (STC 96/2019, de 15 de julio, FJ 3). En este sentido, hemos señalado que “la Constitución no ha asumido en el artículo 23.2 CE un genérico derecho fundamental al respeto de todos y cada uno de los derechos y facultades del estatuto del parlamentario, sino tan solo el de aquellos que pudiéramos considerar pertenecientes al núcleo de la función representativa, como son, principalmente, los que tienen relación directa con el ejercicio de las potestades legislativas y de control de la acción del Gobierno [por todas, SSTC 159/2019, de 12 de diciembre, FJ 5 c), y 69/2021, FFJJ 4 y 5 C) c)]” [STC 137/2021,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Ejercicio del ius in officium en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seno de una Cámara legislativa, la conformación de esta en grupos parlamentarios para el desempeño de las facultades y funciones que la Constitución y el reglamento parlamentario correspondiente reconoce a aquellos y a los miembros que lo integran, constituye uno de los elementos esenciales de la organización y funcionamiento de aquella institución. Los parlamentarios y parlamentarias que hayan resultado elegidos por una determinada formación política en los comicios celebrados, se integran de ordinario en los grupos parlamentarios de su misma denominación, luego del cumplimiento de unos requisitos que el Reglamento de la Cámara correspondiente así lo determine, particularmente el de la exigencia de un número mínimo de miembros para su constitución. La pertenencia a un grupo parlamentario se erige así en conditio sine qua non para el normal desenvolvimiento de la actividad parlamentaria. Además, la facultad de constituir grupo parlamentario, de integrarse en el mismo y de ejercer las funciones y facultades parlamentarias forma parte del núcleo esencial de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declarado este tribunal al señalar que “no cabe duda alguna de que la facultad de constituir grupo parlamentario, en la forma y con los requisitos que el reglamento establece, corresponde a los diputados, y que dicha facultad pertenece al núcleo de su función representativa parlamentaria. Dada la configuración de los grupos parlamentarios en los actuales Parlamentos, como entes imprescindibles y principales en la organización y funcionamiento de la Cámara, así como en el desempeño de las funciones parlamentarias y los beneficios que conlleva la adquisición de tal status, aquella facultad constituye una manifestación constitucionalmente relevante del ius in officium del representante (STC 64/2002, de 11 de marzo, FJ 3)” [STC 141/2007, de 18 de junio, FJ 4 y, en el mismo sentido, STC 109/2016, de 7 de junio, FJ 5 A)]. Igualmente, forma parte del ius in officium el desempeño de aquellas funciones y facultades derivadas de su constitución como grupo, que sean concreción de la configuración que los reglamentos parlamentarios les asignen a estos y a los parlamentarios que formen parte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determinados parlamentarios electos pertenecen a formaciones políticas que no han obtenido el número mínimo de representantes para constituir un grupo parlamentario o, en circunstancias o por razones extraordinarias, no quedan inscritos en el grupo de la denominación de la formación política por la que concurrieron a las elecciones, los reglamentos parlamentarios prevén la existencia de un grupo mixto, en cuyo seno quedarán integrados. La pertenencia obligatoria a un grupo para poder ejercer sus funciones y facultades parlamentarias exige, precisamente, la correspondiente previsión normativa, para de ese modo propiciar y asegurar la igualdad del derecho de participación política de todos los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en este grupo, como sostiene con acierto el letrado del Parlamento Vasco, es automática, se hace a título individual y se produce tan pronto como exista algún parlamentario o parlamentaria que no se haya integrado en un grupo, sin que se precise actuación alguna por parte de aquellos. La organización interna y el régimen jurídico de funcionamiento por el que haya de regirse este grupo mixto, dada la posible heterogeneidad política de sus miembros, deberán ser establecidos por estos, con el acuerdo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autonomía parlamentaria que el art. 72.1 CE reconoce a las Cortes Generales y, por extensión, a las asambleas legislativas de las comunidades autónomas, permite a estas, a través de sus respectivos reglamentos, establecer la configuración y el marco de actuación y funcionamiento de los diferentes grupos parlamentarios, entre ellos y también el del grupo mixto. Son, pues, estas normas reglamentarias las que disponen el régimen jurídico del grupo mixto y la participación de sus miembros en la Cámara. A tal fin y en ejercicio de aquella autonomía parlamentaria, los reglamentos pueden prever la intervención de sus integrantes en la actividad parlamentaria, introduciendo, bien criterios de modulación, respecto de la participación de aquellos en los órganos y en las diferentes actividades de la Cámara, que pueden ajustarse proporcionalmente al principio de representatividad que hayan alcanzado en relación con el total de la Cámara, bien otros tipos de sistemas de participación que pueden responder a diferentes fórmulas con limitaciones de distinto grado o intensidad, hasta llegar a establecer otras de participación “idéntica” o “análoga” al resto de los grupos. En definitiva, en la forma y con las condiciones que vengan establecidas reglamentariamente sobre la participación del grupo mixto y de sus integrantes en las diferentes actividades de la Cámara, así quedará determinada aquella participación, que conformará el estatuto jurídico de los parlamentarios y parlamentarias que lo integren.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los órganos rectores de las Cámaras disponen de un amplio margen en la interpretación de la legalidad parlamentaria que este tribunal no puede desconocer. Así lo hemos reconocido de modo reiterado al declarar que “en virtud del respeto a la autonomía parlamentaria, su fiscalización de las decisiones de los órganos de las cámaras ha de limitarse a las decisiones arbitrarias o manifiestamente irrazonables, dejándoles, por lo demás, un amplio margen para la decisión” (STC 53/2021, de 15 de marzo, FJ 3, que cita la STC 242/2006,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autonomía parlamentaria, amparada constitucionalmente (art. 72 CE), y la propia naturaleza del art. 23.2 CE, como derecho de configuración legal, obligan, en efecto, a limitar nuestro control a los supuestos de actuaciones parlamentarias lesivas de derechos fundamentales susceptibles de amparo y, en particular, de los reconocidos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comunidad autónoma vasca, el Estatuto de Autonomía para el País Vasco y el Reglamento del Parlamento Vasco establecen el marco normativo de la composición, organización y funcionamiento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la competencia exclusiva que tiene la comunidad autónoma vasca para la regulación de sus instituciones de autogobierno (art. 10.2 del Estatuto de Autonomía para el País Vasco: EAPV), el capítulo I, del título II EAPV está dedicado a la regulación del Parlamento Vasco, que, en lo que ahora es de interés, dispone en su art. 27.1, párrafo segundo, que el “Parlamento fijará su reglamento interno, que deberá ser aprobado por mayoría absoluta”, así como que corresponderá a la Cámara vasca aprobar “su presupuesto y el estatuto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cobertura estatutaria, el Reglamento del Parlamento Vasco conforma el marco normativo en el que se desenvuelve la organización y funcionamiento del Parlamento Vasco. En este sentido, el capítulo IV del título I RPV, dedicado a la regulación de los “grupos parlamentarios”, establece un conjunto de normas que determinan su régimen jurídico. En lo que es de interés para la resolución de este recurso de amparo, los arts. 24 y siguientes vienen a disponer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la constitución de un grupo parlamentario es preciso, al menos, tres parlamentarios o parlamentarias (art. 24.1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parlamentarias o parlamentarios que no queden integrados en algún grupo de la Cámara, pasarán a formar parte del Grupo Mixto (art. 25.1, párrafo primero RPV). También quedarán incorporados al mismo los que, transcurrido el plazo de cinco días, no se integren en alguno de los grupos de la Cámara; igualmente, los que por cualquier causa sobrevenida dejaren de pertenecer a uno de los grupos, o por la pérdida, asimismo sobrevenida, de algunos de sus miembros, el grupo dejara de tener el número mínimo de tres componentes (art. 26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participación del Grupo Mixto en las actividades del Parlamento será idéntica a la de los restantes grupos” (art. 25.1, párrafo segundo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régimen de organización y funcionamiento del Grupo Mixto vendrá determinado por los acuerdos a que internamente lleguen sus miembros y, en caso de discrepancia, serán estos los que, por mayoría absoluta, establezcan el reglamento interno de organización y funcionamiento (art. 25.2, párrafo primero RPV. Este apartado en su párrafo segundo establece unas normas complementarias, para la solución de eventuales supuestos de discrepancia, que no tienen relevancia para la resolución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“Las intervenciones en los debates de los componentes del Grupo Mixto tendrán, en su conjunto, la misma duración que la de un grupo parlamentario, independientemente de que las intervenciones se produzcan en el mismo turno o en turnos diferentes” (art. 25.3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Los miembros del Grupo Mixto “podrán formular con su sola firma, y a título personal, enmiendas, votos particulares, interpelaciones preguntas, mociones o cualesquiera otras iniciativas parlamentarias. En tal sentido, todos los miembros del Grupo Mixto tendrán la consideración de portavoces habilitados, sin perjuicio de quien lo sea en cada caso como titular” (art. 25.8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restantes apartados del art. 25 RPV están dedicados a regular la intervención de los miembros del Grupo Mixto cuando forman parte del mismo parlamentarios o parlamentarias de distintas formaciones políticas, lo que no es relevante para la resolución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Parlamento se obliga a poner a disposición de los grupos “locales y medios materiales y personales para el ejercicio de sus funciones”, así como la provisión de subvenciones con cargo a los presupuestos de la Cámara (art. 28.1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objeto de este recurso de amparo, también es relevante el art. 28.2, párrafo segundo RPV, que dispone: “[l]os grupos parlamentarios contarán con un número de personal técnico-administrativo acorde a su respectiva representación parlamentaria. La decisión a este respecto será adoptada por la mesa, previo acuerdo de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Entre las funciones que corresponden a la mesa del Parlamento (art. 36.1 RPV) están, por lo que ahora es de interés, las de: “[a]doptar cuantas decisiones y medidas requiera la organización del trabajo parlamentario” (art. 36.1.1 RPV); “[f]ijar, de acuerdo con la junta de portavoces, el número de miembros que deberán formar las comisiones del Parlamento” (art. 36.1.8 RPV); y “[c]ualesquiera otras que le encomiende el presente reglamento y las que no estén atribuidas a un órgano específico” (art. 36.1.10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el régimen jurídico que, de modo general, regula la composición, organización y funcionamiento de los grupos parlamentarios, entre los que se encuentra el Grupo Mixto de la Cámara vasca. Igualmente, la norma reglamentaria establece una relación de prescripciones singulares para determinadas actuaciones o iniciativas parlamentarias del Grupo Mixto y de los miembros que lo integren, que serán objeto de valoración y enjuiciamiento en los sucesivos fundamentos jurídicos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usos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quedaría completada la visión general de la doctrina de este tribunal sobre el derecho de participación política de los miembros de un Parlamento si no hiciéramos referencia a los denominados “usos parlamentarios”, que han sido invocados por los recurrentes en su demanda de amparo para la defensa de algunas de sus pretensiones y, también, por el letrado del Parlamento Vasco y el Ministerio Fiscal en sus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usos parlamentarios, entendidos como la reiteración de actos sustancialmente iguales adoptados por el mismo órgano parlamentario y referidos a la misma cuestión, tienen una “trascendencia nomotética” (STC 149/1990, de 1 de octubre, FJ 5) y “han constituido tradicionalmente, y siguen constituyendo,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(STC 206/1992, de 27 de noviembre, FJ 3)” (STC 190/2009,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ha señalado este tribunal que “ello no quiere decir que tales usos parlamentarios hayan de tener necesariamente el mismo valor que las propias normas del reglamento parlamentario aprobadas por el Pleno de la Cámara […]” (STC 190/2009, citada, FJ 4). A lo dicho se añade que “‘son eficaces para la regulación del modo de ejercicio de los derechos y facultades parlamentarias, siempre que no restrinjan su contenido reconocido en la norma reglamentaria (SSTC 206/1992, de 27 de noviembre, FJ 3; 190/2009, de 28 de septiembre, FJ 4; 57/2011, de 25 de mayo, FJ 7, y 76/2017, de 19 de junio, FJ 5)’ (STC 139/2017, de 29 de noviembre, FJ 8)” [STC 124/2018, de 14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prácticas o usos parlamentarios desempeñan, pues, un papel interpretativo y complementario en la aplicación del derecho escrito mediante la precisión del sentido y alcance de alguna o algunas de sus normas, pero en ningún caso podrán entrar en contradicción con aquel derecho escrito. A este respecto, el Tribunal ha precisado que “‘los usos parlamentarios tienen su límite inmediato en el reglamento mismo; de manera que la práctica parlamentaria efectivamente instaurada no puede resultar tan restrictiva que impida u obstaculice desproporcionadamente las facultades reconocidas a los parlamentarios en el ejercicio de sus funciones constitucionalmente garantizadas (SSTC 177/2002, de 14 de octubre, FJ 7, y 190/2009, de 28 de septiembre, FJ 4). En otras palabras: los usos parlamentarios son eficaces para la regulación del modo de ejercicio de las prerrogativas parlamentarias, pero no pueden restringir su contenido reconocido en la norma reglamentaria’ (STC 57/2011, de 3 de mayo, FJ 7, y 224/2016, FJ 4)” (STC 71/2017,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usos parlamentarios en cuanto pauta reiterada de comportamiento, fijada mediante la repetición de actos realizados por un mismo órgano parlamentario respecto de una misma cuestión, tienen la capacidad de contribuir a la configuración del contenido del ius in officium de los representantes parlamentarios, en supuestos de ambigüedad o de insuficiencia de la norma reglamentaria escrita, pero siempre que aquellas prácticas no contravengan lo dispuesto en el reglamento de la Cámara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doctrina constitucional al presente recurso de amparo.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de la misma fecha, 13 de agosto de 2020, son tres los acuerdos de la mesa del Parlamento Vasco que han sido impugnados por los recurrentes y, si bien la queja en todos ellos se localiza en la eventual vulneración del ius in officium de los demandantes, aquellas decisiones del órgano parlamentario afectan a diferentes objetos y distintas finalidades, que requieren, por tanto, de un análisis individualizado de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seguiremos, según el mejor criterio de este tribunal [STC 109/2016, de 7 de junio, FJ 3 b), por todas], un orden de enjuiciamiento de las cuestiones suscitadas que difiere del elegido por la demanda de amparo. Comenzaremos por el análisis de las impugnaciones que tienen un objeto específico, esto es las que se refieren a la asignación de un solo asistente a la parlamentaria recurrente en cuanto integrante del Grupo Mixto, así como a la denegada solicitud de denominación del Grupo Mixto como Grupo Mixto-Vox, para concluir con la invocada vulneración del derecho fundamental motivada por el régimen de intervenciones e iniciativas parlamentarias de doña Amaia Martínez Grisaleña, en cuanto único miembro del Grupo Mixto de la Cámara vasca, acordada por la mesa, que tiene un objeto más amplio.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Acuerdo de la mesa relativo al número de asistentes asignados a cada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dotación de medios personales y materiales a los parlamentarios y parlamentarias de los grupos de una Cámara legislativa tiene por objeto facilitar la participación de aquellos y aquellas en el ejercicio de las funciones institucionales de la institución parlamentaria, de tal manera que los reglamentos correspondientes suelen incluir la previsión de personal colaborador y de asignaciones económicas destinadas a apoyarles en el desempeño de las funciones que les son propias. Asimismo, corresponderá a los órganos rectores de la Cámara la aplicación de aquella normativa reglamentaria, estableciendo, conforme a criterios de proporcionalidad y, en función de la representación obtenida, los recursos personales y económicos presupuestados.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igualmente ha declarado que, en sí mismos considerados, los derechos económicos de los parlamentarios y parlamentarias, entre los que se incluirían también los de los medios personales de asistencia y colaboración, no se integran en el núcleo del ius in officium, salvo que afecten al ejercicio de sus funciones propias como parlamentario, habiendo precisado, en algunas ocasiones, “que la privación de dichos derechos podría comportar la vulneración del artículo 23.2 CE cuando se impida el ejercicio de las funciones que tiene encomendadas [STC 69/2021, FJ 5 C) c)]” [STC 137/2021, FJ 4 b)]; esto es las que, principalmente, “tienen relación directa con el ejercicio de las potestades legislativas y de control de la acción del gobierno” [por todas, STC 159/2019, de 12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deduce que, en principio, no cabe excluir que los acuerdos de los órganos rectores de las Cámaras sobre dotación de medios materiales y personales a los parlamentarios y parlamentarias, así como a los grupos parlamentarios en que se integran aquellos y aquellas, puedan llegar a afectar al núcleo de su función, por resultar instrumentalmente necesarios para aquel ejercicio. De quedar privados o limitados de esa asistencia, en contravención con lo previsto en la norma reglamentaria, los acuerdos así adoptados resultarían lesivos del derecho fundamental invocado, en la medida en que pudieran llegar a impedir u obstaculizar indebida o desproporcionadamente el ejercicio, en condiciones de igualdad y sin fundamento objetivo y razonable, de las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Reglamento del Parlamento Vasco, en lo que ahora es de interés, dispone en su art. 28.1, inciso primero, que el Parlamento “pondrá a disposición de los grupos parlamentarios locales y medios materiales y personales para el ejercicio de sus funciones”. Asimismo, el apartado 2, párrafo segundo de este art. 28 RPV prevé, también, que “[l]os grupos parlamentarios contarán con un número de personal-técnico administrativo acorde a su respectiva representación parlamentaria. La decisión a este respecto será adoptada por la mesa, previo acuerdo de la junta de portavoces”. Se trata, como así lo establece el art. 7 bis del Estatuto de personal y régimen jurídico de la administración parlamentaria, de 22 de junio de 1990, del “personal adscrito a los grupos parlamentarios y a sus portavoces”, que tienen la denominación de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desarrollo de las actividades parlamentarias de la XII legislatura, actualmente en curso, que inició su vida parlamentaria en el mes de agosto de 2020, se estableció una previsión total de cuarenta y una plazas de asistentes para su asignación a los diferentes grupos parlamentarios. El acuerdo núm. 2020/2093, de 13 de agosto de 2020, de la mesa del Parlamento Vasco aprobó la propuesta de la adscripción de una de aquellas plazas al Grupo Mixto, que, como se ha reiterado supra, está integrado por un solo miembro, la parlamentaria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queja de los ahora demandantes de amparo se localiza, precisamente, en el número de asistentes asignados al Grupo Mixto del Parlamento Vasco, sobre la base de que, en anteriores legislaturas, este grupo parlamentario dispuso de dos asistentes más otro adscrito a la portavocía, con independencia del número de miembros del grupo. Por ello, entiende que la atribución de un número considerablemente menor al que, conforme a los usos parlamentarios, le fue asignado al Grupo Mixto en legislaturas anteriores, afecta al ejercicio de las funciones propias del cargo de parlamentaria y, en consecuencia, al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letrado del Parlamento Vasco como, en esta ocasión, el Ministerio Fiscal propugnan la desestimación del recurso por entender que no ha habido vulneración del derecho fundamental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podemos acoger esta queja de la demanda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Porque el acuerdo de la mesa impugnado cumple el mandato reglamentario establecido al efecto y se ha ajustado al grado de representatividad alcanzado por quien figura como único miembro del Grupo Mixto. En efecto, el art. 28.2, párrafo segundo Reglamento del Parlamento Vasco, citado anteriormente, incluye como criterio determinante de la asignación de asistentes el de la “representatividad” obtenida en el previo proceso electoral celebrado. Pues bien, si el total de parlamentarios de la Cámara vasca es de setenta y cinco miembros, que se integran en grupos parlamentarios, y el de las plazas de asistente a asignar ha sido para esta legislatura de cuarenta y uno, la designación de un asistente al Grupo Mixto del que únicamente forma parte la parlamentaria recurrente, colma sobradamente aquella exigencia de que la relación de componentes del personal técnico colaborador sea adscrito, según el grado de representatividad alcanzado por los integrantes del Grupo Mixto respecto del número de parlamentarios o parlamentarias del resto de los grupos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en anteriores legislaturas el Grupo Parlamentario Mixto hubiera tenido adscritos hasta un total de tres asistentes, como así se alega en la demanda, no constituye en sí mismo un precedente que vincule al órgano rector de la Cámara vasca, para que, como “uso parlamentario” así defendido, la mesa hubiera tenido que aprobar esa asignación en el número interesado. Y todo ello porque, en primer lugar, el número de asistentes a distribuir entre los grupos parlamentarios, así como la propia cifra de estos últimos, ha variado en función de las diferentes legislaturas, lo que ha determinado que, en cada una de ellas y, en función del número de asistentes presupuestados, haya habido que adoptar singulares acuerdos de distribución para la provisión de cada supuesto en particular. Y, en segundo lugar, porque, como se ha destacado anteriormente, la norma reglamentaria escrita ha de prevalecer sobre el eventual “uso reglamentario” invocado. En el presente caso, aquella decisión de la mesa se ajusta al criterio de representatividad obtenido por la única integrante del Grupo Mixto respecto del resto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Porque, como con acierto afirma el Ministerio Fiscal, tampoco los recurrentes han justificado en qué medida la asignación de un asistente al Grupo Mixto ha podido menoscabar, privando o limitando a la parlamentaria doña Amaia Martínez Grisaleña en cuanto única componente de dicho grupo, del ejercicio de las funciones parlamentarias que integran el núcleo de su ius in officium. Más allá de la mayor facilidad para el ejercicio de tales funciones que le supondría poder disponer de los tres asistentes que reclamaba para su adscripción al Grupo Mixto y a ella, como única integrante del mismo, la demanda de amparo no ha justificado en qué medida los recurrentes se han visto privados o limitados en el ejercicio de las funciones parlamentarias que integran el núcleo del ius in officium, por la asignación de un solo asistente.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en la demanda únicamente se sustenta la queja de la vulneración del derecho de participación política sobre la afirmación de que, en anteriores legislaturas, al Grupo Mixto le fueron asignados un total de tres asistentes frente a uno solo en la presente, ofreciendo a tal efecto un posible término de comparación para poner de manifiesto el alegado trato desigual denunciado. Sin embargo, no podemos aceptar como término de comparación el propuesto porque, como se ha dicho anteriormente, en cada legislatura, a excepción del total de parlamentarios que permanece invariable en setenta y cinco desde la aprobación del Estatuto de Autonomía para el País Vasco, el número de grupos parlamentarios y el diverso número de los parlamentarios o parlamentarias que lo hayan conformado, el de los integrantes del propio Grupo Mixto, que ha sido diferente en las legislaturas en que lo ha habido, así como el de asistentes previstos, ha sido distinto y ha variado en las sucesivas legislaturas, de tal manera que la distribución de aquel personal colaborador entre los distintos grupos de la Cámara ha dependido siempre de aquellas variables, que no han sido semejantes, por lo que no es posible establecer términos válidos de comparación entre legislaturas precedentes y la actual, porque cada una de ellas, de modo particularizado y en función de las variables antedichas, ha distribuido los medios personales de asistencia entre los distintos grupos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las razones expuestas, la alegada vulneración del derecho de participación política de los recurrentes debe ser desestimada respecto del acuerdo de la mesa del Parlamento Vasco, relativo a la propuesta núm. 2020/2093.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Acuerdo de la mesa denegatorio de la denominación solicitada para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denominación de un partido político y la identificación por sus siglas o símbolos constituyen, para la opinión pública y para los ciudadanos en general, rasgos inequívocos que singularizan aquella formación política de las demás que participan en la vida política y concurren a los procesos electorales. Aquella denominación tiene especial relevancia para particularizar ante la sociedad la existencia y actividad del partido político, en este caso dentro de la sede parlamentaria. Corresponde, en su caso, al Reglamento de la Cámara correspondiente la regulación de cualquier referencia a la denominación de los grupos parlamentarios y a los órganos rectores de la misma su aplicación, en virtud de la autonomía parlamentaria de que gozan.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Parlamento Vasco, la exigencia de una denominación para los grupos parlamentarios viene establecida de modo expreso para los que se constituyan a partir de la iniciativa voluntaria de los parlamentarios y parlamentarias. Así, el art. 24.4 RPV, en lo que ahora es de interés, dispone que, en el escrito de solicitud de constitución de un grupo parlamentario “deberá constar la denominación de este y los nombres de todos sus miembros, de su portavoz y de una o más sustitutas o sustitutos, así como el miembro designado para formar parte de la Comisión del Estatuto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Grupo Mixto no se hace referencia expresa a alguna formación política en la denominación, como por otra parte es lógico, dado que su constitución es automática y el Reglamento de la Cámara obliga a integrar en el mismo a todas las parlamentarias y parlamentarios que no se inscriban de forma voluntaria en uno de los otros grupos, pudiendo proceder de formaciones políticas diversas. No obstante lo expuesto, el art. 25.2, inciso primero de la norma reglamentaria establece que “[e]l Grupo Mixto se regirá por los acuerdos a que internamente lleguen sus miembros”, disponiéndose la posibilidad, no aplicable al caso presente, de que, a falta de dicho acuerdo, la organización y funcionamiento de este grupo se determine mediante un reglamento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dado que la demanda y los escritos del letrado del Parlamento Vasco y del Ministerio Fiscal han hecho referencia a los “usos parlamentarios” en sustento de sus argumentaciones contrapuestas, hemos también de valorar que, en precedentes legislaturas, el Grupo Mixto de la Cámara llevó unida otra denominación, lo que revela la relevancia que las formaciones políticas le han dado a la citada denominación, cuando sus representantes se han tenido que integrar en el citado Grupo Mixto del Parlamento Vasco. Así, entre otras y por citar las más recientes, en la VII legislatura el citado grupo parlamentario tuvo la denominación de “Grupo Mixto-Unidad Alavesa” con un único parlamentario perteneciente a aquella formación política; igualmente, en la VIII legislatura, hubo uno con la denominación “Grupo Mixto-Ezker Batua/Berdeak”, integrado por tres miembros, y otro “Grupo Mixto-Aralar” compuesto por un solo miembro; en la IX legislatura hubo hasta tres denominaciones de grupos mixtos, con un parlamentario en cada uno de ellos, pertenecientes a diferentes formaciones políticas, Grupo Mixto-Eusko Alkartasuna, Grupo Mixto-Ezker Anitza IU y Grupo Mixto-UPyD (Unión Progreso y Democracia); por último, en la X legislatura, recibió aquel grupo la denominación de “Grupo Mixto-UPyD”, con un único parlamentario. En la XI legislatura no se constituyó el Grupo Mixto. (https://www.legebiltzarra.eus/).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antecedentes han recogido de forma detallada, tanto los argumentos sobre los que sustenta su pretensión de amparo la demanda, como los del letrado del Parlamento Vasco, que la rechaza solicitando su desestimación. En cambio, el Ministerio Fiscal propugna la estimación de la queja en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inicial acuerdo de la mesa del Parlamento Vasco de 13 de agosto de 2020 se limitó a denegar la solicitud de la parlamentaria doña Amaia Martínez Grisaleña para que se modificara la inicial denominación del “Grupo Mixto” y fuera sustituida por la del “Grupo Mixto-Vox”, sin aportar ningún otro argumento añadido. Por su parte, el posterior acuerdo de 8 de septiembre de 2020, desestimatorio de la solicitud de reconsideración, después de hacer referencia a que el art. 25.1 RPV dispone la integración en el Grupo Mixto de los parlamentarios o parlamentarias que no pasen a formar parte de otros grupos de la Cámara, añade como específico argumento a la anterior desestimación que “la denominación de Grupo Mixto no ofrece confusión alguna, y es la adecuada reglamentariamente”. La demanda alega que los citados acuerdos carecen de motivación, pues se han limitado a rechazar su petición sin expresar las razones que han llevado a la mesa a denegarles aquella denominación.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doctrina de este tribunal sobre el ius in officium, resumida anteriormente, ha declarado que no toda infracción del Reglamento de la Cámara vulnera de modo automático el derecho fundamental de participación política del parlamentario, sino aquella que afecta inconstitucionalmente al núcleo de la función representativa, como es la que, principalmente, tiene relación directa con el ejercicio de las potestades legislativas y con el control de la acción del Gobierno. Sin embargo, es preciso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Incluir la denominación de la formación política que integra, como único miembro, el Grupo Mixto de una Cámara, en este caso del Parlamento Vasco, adquiere particular relevancia, en la medida en que la adición de las siglas de aquella permite la identificación, sin ningún género de dudas, de las actividades parlamentarias que aquella realice, teniendo en cuenta que el resto de grupos parlamentarios dispone de denominación propia para su respectiva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 bien el Reglamento del Parlamento Vasco no establece de modo expreso una referencia a la denominación del Grupo Mixto, también especifica en su art. 25.2 RPV que corresponde a los miembros de dicho grupo establecer las normas internas de su organización y funcionamiento, al punto de tener, primeramente, que regirse por los acuerdos internos a los que lleguen sus miembros, en lo que atañe a dicho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precitado art. 25.2 RPV confiere a las decisiones tomadas en el seno del Grupo Mixto la facultad de establecer su reglamento interno de organización y funcionamiento, reconociéndole validez y eficacia jurídica al diseño del régimen jurídico por el que se vaya a regir aquel grupo parlamentario, la expresa decisión de dar una denominación al mismo, tomada por la única parlamentaria que lo integra, sin que exista, obviamente, oposición alguna por parte de ningún otro miembro del mismo grupo, se integra por la fuerza obligatoria, vinculante y directa del Reglamento de la Cámara vasca en el estatuto jurídico que determina la organización y funcionamiento de dicho grupo, lo que también engloba a la denominación del mismo, en cuanto rasgo identificativo que lo distingue del resto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presente caso, la decisión interna sobre organización y funcionamiento del Grupo Mixto, relativa a la denominación del mismo como “Grupo Mixto-Vox”, la ha tomado su única componente, esto es la parlamentaria ahora recurrente, por lo que se trata de un acuerdo de aquella en relación con el régimen jurídico interno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la denominación asignada al Grupo Mixto por la parlamentaria integrada en el mismo puede formar parte del régimen jurídico interno de dicho grupo (art. 25.2 RPV), cualquier decisión de la mesa que, negativamente, afecte a aquel régimen interno, deberá apoyarse en un razonamiento que justifique en derecho las razones de aquella denegación, por cuanto se trata de una decisión que incide sobre las facultades de autoorganización que le reconoce el Reglamento de la Cámara a los integrantes del Grupo Mixto. Sin embargo, la mesa de la Cámara denegó la denominación del Grupo Mixto en la forma que la parlamentaria de Vox así lo había propuesto, sin que aquella negativa viniera anudada a argumentación alguna en derecho que sustentara tal decisión, excluyéndole, por tanto, del ejercicio de la facultad de autoorganización y funcionamiento del grupo que le concedía el art. 25.2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ocultación de las siglas propias repercute en la genuina labor parlamentaria del miembro del Grupo Mixto, que no puede proponer iniciativas con cita expresa de la formación política a la que pertenece, ni tampoco hacer aquella manifestación explícita de la misma a la hora de ejercer su función de control político del Gobierno. De ello se deduce que la denominación de dicho grupo como Grupo Mixto-Vox es relevante para el conocimiento, tanto dentro como fuera de la Cámara vasca, de la labor parlamentaria de la única representante que lo integra. Se trata, pues, de un derecho, el de la denominación, que, por aplicación de la facultad de autoorganización que le reconoce el art. 25.2 RPV, se integra en el estatuto jurídico del Grupo Parlamentario Mixto de aquella Cámara, que le ha sido denegado por la mesa de aquel Parlamento sin razón en derecho que justifique aquella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otro lado, la práctica parlamentaria de legislaturas anteriores, como hemos dicho supra [fundamento jurídico 7 apartado b)], había permitido, como “uso parlamentario”, que el Grupo Mixto hubiese tenido la denominación de la formación política a la que pertenecía su único miembro; incluso llegó el Grupo Mixto a tener hasta varias denominaciones, en función de las diversas formaciones políticas a las que pertenecían sus integrantes (tal es el caso, por ejemplo, de la IX legislatura, en la que hubo hasta tres denominaciones de Grupos Mixtos, con un parlamentario en cada uno de ellos, pertenecientes a diferentes formaciones políticas, Grupo Mixto-Eusko Alkartasuna, Grupo Mixto-Ezker Anitza IU y Grupo Mixto-UPyd), sin que hubiera habido obstáculo u objeción alguna a aquella denominación por parte de la mesa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nos hallamos ante una primera ocasión en que ese órgano parlamentario ha adoptado una decisión de este carácter, denegatoria de la denominación específicamente propuesta. Y lo ha hecho apartándose de todas las que, en legislaturas anteriores, habían reconocido que el Grupo Mixto llevara también las siglas de las formaciones políticas a las que pertenecían sus miembros únicos o de diferente asignación política. Y, además, aquella decisión la ha adoptado sin haber ofrecido argumento alguno que justifique el cambio de criterio, pese a haberlo invocado así la parlamentaria recurrente en su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los dos acuerdos ahora impugnados, más allá de la mera afirmación de que “la denominación de Grupo Mixto no ofrece confusión alguna, y es la adecuada reglamentariamente” (acuerdo de 8 de septiembre de 2020), la mesa de la Cámara, no ha ofrecido argumento alguno que pudiera reforzar aquella afirmación apodíctica, teniendo en cuenta que, en el escrito de reconsideración, la parlamentaria ahora recurrente en amparo, le había puesto de manifiesto que, en una legislatura anterior (citaba expresamente la aceptada denominación del Grupo Mixto como Grupo Mixto-UPyD), sí le había sido reconocida aquella denominación al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conclusión, no poder incluir en la denominación de este grupo parlamentario las siglas de la formación a la que pertenece su única integrante dificulta la identificación del origen de las iniciativas y actuaciones que realice, en comparación con el resto de los grupos parlamentarios de la Cámara vasca, que disponen de una denominación específica por la que pueden ser identificados con facilidad, generándole un desigual tratamiento en el uso de aquella denominación, sin ningún fundamento normativo y sin ninguna justificación que apoye aquella decisión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trata, pues, de un derecho, el de la denominación, que se integra en el estatuto jurídico del Grupo Parlamentario Mixto de aquella Cámara al que pertenece la parlamentaria doña Amaia Martínez Grisaleña (ex art. 25.2 RPV) y la decisión adoptada se aparta de los “usos parlamentarios”, seguidos anteriormente en la actividad del Parlamento Vasco, sin que tampoco la mesa de la Cámara haya ofrecido argumento justificativo alguno de esta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acordar la estimación de la queja y, en consecuencia, la anulación de los acuerdos de 13 de agosto y de 8 de septiembre de 2020 de la mesa del Parlamento Vasco, aprobados en respuesta a la propuesta núm. 2020/2075, por resultar contrarios, en ese extremo, al derecho fundamental del art. 23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Acuerdo de la mesa sobre órdenes del día e intervenciones del Grupo Mixto en 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resulta ocioso reiterar lo que hemos dicho supra sobre los reglamentos parlamentarios. Estas disposiciones normativas ordenan los derechos y facultades que corresponden a los distintos cargos públicos y pasan así a integrarse en el estatus propio de cada uno de ellos, con la consecuencia de que podrá su titular defender, al amparo de esta disposición constitucional, el ius in officium que estime ilegítimamente constreñido o ignorado por actos de los poderes públicos. Además, la Constitución no ha asumido en el artículo 23.2 CE un genérico derecho fundamental al respeto de todos y cada uno de los derechos y facultades del estatuto del parlamentario, sino tan solo el de aquellos que pudiéramos considerar pertenecientes al núcleo de la función representativa, como son, principalmente, los que tienen relación directa con el ejercicio de las potestades legislativas y de control de la acción del Gobierno [por todas, SSTC 159/2019, FJ 5 c); 69/2021, FFJJ 4 y 5 C) c), y 137/2021, FJ 4 a), ya citadas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caso de los representantes electos, aquellas cuestiones que se susciten en relación directa con las facultades y funciones legislativas y con el control político del Gobierno, afectarán al ius in officium. Esta doctrina constitucional adquiere especial significación en el marco de la confrontación entre posiciones mayoritarias y minoritarias, pues, cuando las iniciativas de estas últimas son rechazadas por decisiones de los órganos parlamentarios, que se reputan como restrictivas de los derechos de participación política de los integrantes de aquellos grupos minoritarios, la invocada vulneración del derecho fundamental del art. 23 CE, a través del recurso de amparo parlamentario (art. 42 LOTC), constituye este último el instrumento de defensa constitucional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el citado precepto constitucional “alude al derecho de todos los ciudadanos, sin distinciones, a optar al ejercicio de cargos en los que se ejerce poder de decisión, en el marco de un Estado social y democrático de Derecho, en el que el respeto a la posición y los derechos de las minorías actúa como elemento constitutivo del propio sistema, que legitima su propio funcionamiento. Sin respeto a los derechos de las minorías políticas, no hay modo de preservar el pluralismo propio del Estado democrático (STC 226/2016, de 22 de diciembre, FJ 5), propugnado por el artículo 1.1 de la Constitución como uno de los valores superiores de nuestro ordenamiento jurídico” (por todas, STC 115/2019,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Reglamento del Parlamento Vasco regula con detalle el funcionamiento del Grupo Mixto y la participación de sus integrantes en las labores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Contiene una norma con vocación de generalidad, que es la expresada en el art. 25.1, párrafo segundo RPV, que dispone que “[l]a participación del Grupo Mixto en las actividades del Parlamento será idéntica a la de los restantes grupos”. Parte, pues, de un régimen jurídico general de equiparación entre los distintos grupos, de tal manera que no establece distinción alguna entre unos grupos y otros, con independencia del número de miembros que lo conformen.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aquella norma sucede, dentro del mismo precepto, otra relacionada con las intervenciones en los debates de los componentes del Grupo Mixto, pues el art. 25.3 RPV dispone que “tendrán, en su conjunto, la misma duración que la de un grupo parlamentario, independientemente de que las intervenciones se produzcan en el mismo turno o en turnos diferentes”. Y tal régimen de equiparación es acogido, también, en los restantes apartados del art. 25 RPV (distribución de escaños del Grupo Mixto en las comisiones; presencia de cada fuerza política integrante del Grupo Mixto en las ponencias no legislativas; posibilidad de formular cada miembro del Grupo Mixto, con su sola firma y a título personal diversas iniciativas parlamentarias: enmiendas, votos particulares, interpelaciones, preguntas, mociones o cualesquiera otras; consideración de todos los miembros como portavoces habilitados). Por consiguiente, el Reglamento del Parlamento Vasco no establece en su articulado ninguna distinción entre los grupos parlamentarios, aludiendo siempre a todos ellos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inicial planteamiento general se ve reforzado, después, con normas específicas que regulan la participación de todos los grupos parlamentarios, incluido el Grupo Mixto, en las distintas facetas de la actividad parlamentaria, de tal manera que aquellas normas no establecen distinción alguna entre unos grupos y otros, haciendo referencia, en general, a “los grupos parlamentarios” (a título de ejemplo, el art. 42.2, en relación con los componentes de las comisiones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parte, precisamente, del reconocimiento por la norma reglamentaria del principio de equiparación que asiste al Grupo Mixto, en relación con el resto de los grupos parlamentarios de la Cámara vasca. En consecuencia, se queja de que aquel principio no solo no ha sido respetado por los acuerdos impugnados, sino que, según refiere, ni siquiera, en algún tipo de intervención parlamentaria, ha sido cumplido un mínimo de proporcionalidad en función del grado de representatividad alcanzado por la parlamentaria de Vox, en relación con el resto de las formaciones políticas presentes en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mismo parecer es el Ministerio Fiscal que, en esta cuestión, propugna la estimación de la pretensión de amparo. No así, en los términos que detalladamente hemos recogido en los antecedentes, el letrado del Parlamento Vasco, que interesa la desestimación del recurso, por entender, de una parte, que realmente el art. 25.1 RPV, que es el precepto sobre el que apoya esencialmente su pretensión de amparo la demanda, no contiene tal mandato de equiparación entre grupos, sino que cuando, en realidad, se alude a una participación “idéntica” lo que la norma parlamentaria está haciendo mención es a una participación “análoga”. Para ello, considera que el término correspondiente en euskera del citado art. 25.1, “bezalaxe”, “remite más a una participación análoga que idéntica, ya que en tal caso debiera haberse empleado el término ‘bezalakoxe’”. Y, en segundo término, porque, en el ejercicio de su autonomía parlamentaria, la mesa ha interpretado el precepto anterior y ha modulado la participación del Grupo Mixto y de su única componente en las tareas parlamentarias, en proporción a su grado de representatividad.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Hemos de comenzar el análisis de la queja de los recurrentes contra el cuerdo de la mesa del Parlamento Vasco sobre determinación de los órdenes del día y de los tiempos de debate de las sesiones plenarias, con la exposición de un resumen del contenido del mismo, adoptado en respuesta a la propuesta núm. 2020/2094, formulada por cuatro grupos parlamentarios de la Cámara [Euzko-Abertzaleak-Nacionalistas Vascos (EA-NV); Euskal Herria Bildu (EH Bildu); Socialistas Vascos-Euskal Sozialistak (SV-ES) y Elkarrekin Podemos-IU (EP-IU)], oída la junta de portavoces. En el citado acuerdo, la mesa aceptó la propuesta en los términos en que aparecía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acuerdo se refiere a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Inclusión de hasta dos iniciativas (proposiciones de ley y no de ley, mociones como consecuencia de interpelación) por cada grupo parlamentario y sesión plenaria. El Grupo Mixto solo podría introducir una iniciativa cada tres plenos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tiempo de intervención del Grupo Mixto en todos los debates será de un tercio del correspondiente al resto de los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Grupo Mixto podrá incluir una interpelación y cuatro preguntas orales cada tres plenos de control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Debemos descartar ab initio: (i) las argumentaciones que hace la demanda en relación con la afirmación de que la parlamentaria ahora recurrente y la formación política a la que pertenece han sido objeto de un “cordón sanitario” por parte de otras formaciones políticas presentes en el Parlamento Vasco, al objeto de minimizar su participación en las iniciativas parlamentarias en dicha Cámara. Se trata de afirmaciones que tienen que ver con un juicio de intenciones políticas que deben quedar totalmente al margen del juicio de constitucionalidad que debe hacer este tribunal y que se refiere, en el ámbito del recurso de amparo, a determinar si la pretensión invocada en el recurso, sustentada en este caso sobre la alegada vulneración del derecho fundamental de participación política de los recurrentes, ha sido objeto de lesión o no por los poderes públicos, en este caso por determinados acuerdos de la mesa del Parlamento Vasco. A este único objeto debe ceñirse, pues, nuestro enjuiciamiento. Y (ii) debemos, también, rechazar el argumento del letrado del Parlamento Vasco de que la traducción del euskera al castellano, en lo que se refiere al término “bezalaxe” que aparece incluido en el texto en euskera del art. 25.1 RPV, incluya un significado distinto al de “idéntica” que se recoge en el mismo texto del citado precepto pero expresado en castellano, toda vez que, tanto el euskera como el castellano tienen reconocido “el carácter de lengua oficial en Euskadi” (art. 6.1 EAPV) y el texto en castellano del citado artículo es el que recoge, como texto consolidado en castellano, la edición oficial del reglamento del Parlamento Vasco (https://www.legebiltzarra.eus/portal/web/eusko-legebiltzarra/conoce-el-parlamento/el-reglamento-del-parlamento-vasco), de conformidad con lo que dispone, también, el art. 2 RPV, que establece: “[e]l euskera y el castellano son los idiomas oficiales del Parlamento Vasco” (apartado 1) y “[l]as publicaciones oficiales del Parlamento Vasco serán bilingües”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apreciaciones que hace el letrado en relación con la traducción más aproximada de aquella palabra del euskera al castellano no pasan de ser meras afirmaciones de parte que este tribunal no puede acoger porque es el propio texto oficial del reglamento el que recoge en castellano el término que estima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Mayor detenimiento merece, en cambio, el estudio de la segunda de las argumentaciones del letrado del Parlamento Vasco, única parte que propugna la desestimación del recurso respecto de esta cuestión, que se centran en la necesidad de modular las facultades de iniciativa y de intervenciones parlamentarias del Grupo Mixto y de su única componente, en función del grado de su representatividad alcanzada en relación con el resto de grupos parlamentarios de la Cámara, de tal manera que las mismas se adecúen proporcionalmente a aquella representatividad.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adelantado supra, la doctrina de este tribunal sobre el principio de autonomía parlamentaria ha declarado reiteradamente que, una vez que los reglamentos parlamentarios disponen el conjunto de derechos y facultades de los miembros de la Cámara y las posibilidades de participación de los mismos en las tareas parlamentarias, quedan aquellos integrados en su estatuto jurídico y en el núcleo de su función representativa, de tal manera que será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solo de vulnerar el derecho fundamental del representante de los ciudadanos a ejercer su cargo (art. 23.2 CE), sino también de infringir el de estos a participar en los asuntos públicos ex art. 23.1 CE” [por todas, STC 159/2019, de 12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debemos anticipar ya la estimación de la queja de los recurrentes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Porque el Reglamento del Parlamento Vasco, con una vocación protectora del respeto al derecho de los grupos minoritarios de la Cámara, establece un régimen de igualdad para todos los grupos parlamentarios, sin distinción alguna entre unos y otros, de tal manera que el art. 25, en sus apartados 1, párrafo segundo y 3 RPV disponen, con carácter general y en relación con el Grupo Mixto de la Cámara vasca, un régimen de participación de dicho grupo “idéntico” y con “la misma duración” de las intervenciones de sus miembros a las del resto de los grupos de la Cámara. A diferencia de lo que argumenta el letrado del Parlamento Vasco, el sistema participativo por el que ha optado la norma reglamentaria vasca es el de igualdad en el tratamiento de todos los grupos, con independencia del número de componentes del mismo. Esta es la norma que ha regido y rige en lo que respecta al funcionamiento de los grupos parlamentarios y a la participación de los mismos en las tareas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Parlamento Vasco, en el ejercicio de su autonomía normativa, ha establecido un régimen de participación “idéntica” para todos los grupos parlamentarios, de tal manera que cualquier decisión que pueda tomar uno de los órganos de aquella Cámara, en este caso la mesa, deberá ajustarse a las prescripciones que establece su propia norma de régimen interno de funcionamiento. Si no respeta el contenido y alcance de la precitada norma, contraviene el principio de autonomía normativa, pues aquella es fruto de la propia decisión del Pleno de la Cámara, por lo que uno de sus órganos no puede ir en contra de las propias decisiones que la Cámara en su conjunto haya adoptado. Bastaría, en su caso, con modificar el texto del precepto correspondiente, en este caso del art. 25 RPV, para que el Parlamento Vasco, al igual que otras asambleas autonómicas que así lo han hecho (ej. art. 64 del Reglamento del Parlamento de La Rioja; art. 26.4 del Reglamento de la Asamblea de Murcia, de 7 de marzo de 2019), pudiera ajustar su régimen jurídico a lo que ha pretendido con su decisión la mesa del Parlamento Vasco. Este tribunal ha insistido en que “compete a los reglamentos parlamentarios fijar y ordenar los derechos y atribuciones que a los parlamentarios corresponden.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STC 208/2003,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Porque la propuesta de ordenación de los órdenes del día y de los tiempos de debate de las sesiones plenarias, suscrita por cuatro grupos parlamentarios, oída la junta de portavoces, ha sido finalmente aceptada por la mesa de la Cámara sin ni siquiera haber seguido un mismo criterio a aplicar a todos los grupos de la Cámara. Antes bien, a todos los grupos excepto al Grupo Mixto se les ha aplicado un criterio de igualdad, de tal manera que la decisión ha sido de plena equiparación de las iniciativas, de los tiempos de intervención y de las interpelaciones y preguntas, cuando el grado de representatividad de cada uno de aquellos grupos es distinto, pues tienen un número de componentes que presenta grandes diferencias entre unos y otros en cuanto a la cifra de sus miembros. En cambio, la participación de la componente del Grupo Mixto ha sido objeto de una regulación distinta y se le ha aplicado un criterio diferente, que no ha sido el de la equiparación, sino el de la representatividad.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acuerdos de la mesa impugnados han establecido dos criterios diferentes para distribuir las posibilidades de presentar iniciativas y los tiempos de intervención de los grupos: Un primer criterio, de igualdad, entre todos los grupos excepto el mixto, de tal manera que cualquiera que sea el número de componentes de aquellos grupos parlamentarios, a todos ellos se les ha asignado un mismo régimen de participación en las sesiones plenarias. Por el contrario, el segundo criterio le ha sido aplicado exclusivamente al Grupo Mixto, en que se ha optado por el del grado de representatividad en relación con el resto de los grupos, cuando con aquellas decisiones, no solo se han apartado del régimen diseñado por el Reglamento de la Cámara vasca (igualdad para todos los grupos), sino que además, no se ha seguido el mismo criterio para todos, sino que se ha aplicado a un solo grupo de la Cámara un criterio diferente. Al Grupo Mixto y a su única componente se le ha aplicado un criterio ad hoc y exclusivo con objeto de reducir su participación efectiva en las tareas parlamentarias, lo que no se ha hecho con los demás grupos, que dispondrán del mismo nivel e intensidad de participación en la Cámara con independencia del número de miembros que lo compongan.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establecido, pues, un trato diferencial que quiebra la igualdad en el ejercicio del derecho de participación política de los recurrentes, tanto del Grupo Mixto como de la parlamentaria que lo integra, imponiéndole esta limitación, con carácter general, para toda la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Porque, en virtud de las decisiones tomadas por la mesa de la Cámara, al Grupo Mixto y, por ende, a la parlamentaria doña Amaia Martínez Grisaleña, se le impide presentar iniciativas parlamentarias, así como tampoco formular interpelaciones y preguntas de control al Gobierno en dos de cada tres plenos, reduciéndosele el tiempo de sus intervenciones orales a un tercio respecto de los demás grupos. Es decir, durante dos sesiones plenarias se les impide a los recurrentes el ejercicio de las funciones parlamentarias más genuinas, como son las de las iniciativas (proposiciones de ley o no de ley, mociones) y las de control al Gobierno, lo que afecta al núcleo esencial del ius in officium, en la medida en que, al menos en aquellas sesiones plenarias, no pueden tener participación efectiva en los mismos ejercitando aquellas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porque los acuerdos, pese a haber establecido dos criterios de participación diferentes para los distintos grupos de la Cámara (uno para el Grupo Mixto y el otro para el resto de grupos parlamentarios) y haber incurrido en contravención de lo dispuesto en el art. 25, apartados 1 párrafo segundo y 3 RPV y de impedirle al Grupo Mixto el ejercicio de las funciones parlamentarias de iniciativa y control del Gobierno en dos de cada tres plenos, así como de ver reducido a un tercio los tiempos de intervención oral, no han aportado ninguna argumentación que haya justificado el dispar criterio acogido, el apartamiento de lo dispuesto en la norma reglamentaria, así como la limitación establecida en el ejercicio de aquellas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se ha limitado a aceptar la propuesta formulada por cuatro grupos de la Cámara y a señalar que lo así acordado responde a “una modulación” de la participación efectiva del Grupo Mixto, lo que no ha sucedido con el resto de grupos, a los que se ha aplicado otro criterio y no se ha justificado la limitación tan intensa del ejercicio de las facultades y funciones parlamentarias como el de que ha sido objeto en exclusiva el Grupo Mixto y su única componente.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las razones expuestas, debemos estimar la alegada vulneración del derecho de participación política invocado en la demanda de amparo respecto de los acuerdos impugnados, que acogieron la propuesta 2020/2094. En consecuencia, procede declarar la nulidad de los citados acuerdos a que se refiere esta propuesta, para que la mesa de la Cámara dicte otro que sea respetuoso con el ius in officium de los recurrentes reconocido en el art. 23 CE, de conformidad con lo que dispone el art. 25, apartados 1, párrafo segundo y 3 RPV.</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el Grupo Mixto del Parlamento Vasco y por la parlamentaria doña Amaia Martínez Grisaleña, integrada en dicho grupo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acuerdo de la mesa del Parlamento Vasco en relación con la propuesta núm. 2020/2075, de 13 de agosto de 2020, relativo a la denominación del Grupo Mixto, ha vulnerado el derecho de participación política de los recurrentes en su vertiente del ius in officium (art. 23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acuerdo de la mesa del Parlamento Vasco en relación con la propuesta núm. 2020/2094, de 13 de agosto de 2020, relativo a los órdenes del día e intervenciones del Grupo Mixto en el Parlamento Vasco, ha vulnerado el derecho de participación política de los recurrentes en su vertiente del ius in officium (art. 23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 a los recurrentes en su derecho anulando los acuerdos de la mesa de la Cámara de 13 de agosto y de 8 de septiembre de 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amparo en relación con el contenido de los acuerdos relativos a la propuesta núm. 2020/2093, relativa a la dotación de medios personales y patrimoniales al Grupo Mixto del Parlamento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4885-2020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del Tribunal, reflejo en este voto particular la posición discrepante que defendí en la deliberación de este recurso de amparo respecto de las vulneraciones del art. 23.2 CE imputadas a las decisiones de la mesa del Parlamento Vasco sobre la denominación y el reparto de iniciativas y de tiempos de intervención del Grupo Parlamentario Mixto.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decisión de la mesa del Parlamento Vasco sobre la denominación del Grupo Parlamentario Mixto en su XII legislatura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 esta controversia era determinar si vulnera el derecho de los demandantes reconocido en el art. 23.2 CE la decisión de la mesa del Parlamento Vasco de negar a la única miembro integrante del Grupo Parlamentario Mixto su cambio de nombre para que fuera sustituido por el del partido político en cuyas listas electorales fue elegida parlamentaria de la cámara vasca o, en su caso, para que se añadiera al del Grupo Parlamentario Mixto.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concluye que ha existido dicha vulneración señalando que la decisión parlamentaria no ha respetado los usos parlamentarios sobre esta materia en anteriores legislaturas y que, además, incide en el núcleo de la función representativa del representante político, ya que la decisión impugnada sobre el nombre que debe darse al Grupo Parlamentario Mixto (i) repercute en la labor parlamentaria de la demandante de amparo porque le impide expresar la formación política a la que pertenece, lo que le resta conocimiento a su actividad parlamentaria; (ii) supone un trato desigual con el resto de grupos parlamentarios que disponen de una denominación específica, y (iii) afecta a su capacidad de autoorganización del grupo parlamentario en que se integra.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considero lo suficientemente sólido y concluyente este proceso argumental para desautorizar la decisión de la mesa del Parlamento Vasco por las siguientes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jurisprudencia constitucional ha sido constante al señalar que dentro del núcleo esencial del derecho de representación política se incluyen principalmente aquellas funciones que tienen relación directa con el ejercicio de las potestades legislativas y de control de la acción de gobierno. De ese modo, solo las decisiones de los órganos de la cámara que las vacíen de contenido, las someten a limitaciones que las hacen impracticables o dificulten su ejercicio más allá de lo razonable, las desnaturalizan o resulten irreconocible como tal derecho, pueden resultar lesivas del art. 23.2 CE (así, ampliamente, STC 159/2019, de 12 de diciembre,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no me parece razonable concluir que la negativa a permitir una determinada denominación del Grupo Parlamentario Mixto supone un obstáculo o limita las posibilidades de iniciativa política o de control de gobierno. La parlamentaria demandante de amparo y el grupo parlamentario que ella sola conforma mantienen la misma capacidad de iniciativa política y de control de gobierno derivada de su integración en dicho grupo con independencia de su denominación. En efecto, el art. 27.5 del Reglamento del Parlamento Vasco despeja cualquier duda sobre la materia al disponer que “[l]os miembros del Grupo Mixto podrán formular con su sola firma, y a título personal, enmiendas, votos particulares, interpelaciones, preguntas, mociones o cualesquiera otras iniciativas parlamentarias. En tal sentido, todos los miembros del Grupo Mixto tendrán la consideración de portavoces habilitados, sin perjuicio de quien lo sea en cada caso como titular.” La denominación de “Grupo Mixto” solo opera a efectos internos de la Cámara; a efectos externos, la parlamentaria que lo integra puede presentar todas sus iniciativas sin excepción anunciando libérrimamente, si lo entiende conveniente, el nombre del partido político en cuyo nombre actúa como portavoz del grupo. Por tanto, desde esta perspectiva, no aprecio lesión alguna del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idea de que esta decisión puede incidir en el núcleo de representación política porque resta conocimiento dentro y fuera de la cámara a la labor parlamentaria del partido político en cuyas listas electorales fue elegida la única parlamentaria que lo integra parece que, además de situarse extramuros del núcleo esencial del derecho de representación política del art. 23.2 CE, tampoco se compadece con la jurisprudencia constitucional sobre la titularidad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ha establecido que los titulares del art. 23.2 CE, en su vertiente del ius in officium, son las personas que obtienen la representación política por medio del sufragio y los grupos parlamentarios que conforman, no el partido en cuyas listas fueron elegidas. En la STC 123/2017, de 2 de noviembre, se hizo especial incidencia en que “el mandato libre en virtud de este artículo 67.2 CE supone, pues, la exclusión de todo sometimiento jurídico del representante, en cuanto tal, a voluntades políticas ajenas y proscribe por ello, en particular, que sobre él se hicieran pesar tanto instrucciones vinculantes en Derecho que pretendieran disciplinar su proceder, como asimismo cualquier tipo de sujeción, jurídicamente impuesta, a la confianza de sus electores (expresada del modo que se pretendiera) o de las organizaciones o grupos políticos en que se integre o en cuyas listas hubiera concurrido a las elecciones; sujeción que, de llegar a verificarse, contrariaría asimismo, adicionalmente, sus derechos al mantenimiento en el cargo y a ejercerlo sin constricciones ilegítimas (art. 23.2 CE)”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asociar la idea de la vulneración del art. 23.2 CE a la pérdida de oportunidad de publicitación del partido político al que pertenece la única diputada integrante del Grupo Parlamentario Mixto no resulta expresivo de una limitación objetiva al contenido material del derecho fundamental y hace radicar esa vulneración en un supuesto menoscabo de quien no es titular del citado derecho fundamental incurriendo en lo que considero que es una inadecuada confusión entre el titular del ius in officium supuestamente vulnerado y el partido al que pertenece.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No puedo compartir tampoco que esta decisión haya vulnerado el derecho fundamental por suponer un trato desigual con el resto de los grupos parlamentarios, que disponen de una denominación específica.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reiterado que el art. 23.2 CE es un derecho de igualdad y que, por tanto, puede verse vulnerado no solo cuando los órganos de las cámaras adopten decisiones que contraríen la naturaleza de la representación sino también cuando atenten contra la igualdad de los representantes (así, STC 115/2019, de 16 de octubre, FJ 4). En el presente caso, considero que el elemento de comparación en que se fundamenta la opinión mayoritaria en la que se sustenta la sentencia no resulta adecuado para concluir el carácter lesivo de la decisión parlamentaria impugnada basada en un supuesto trato desigual. El Grupo Parlamentario Mixto tiene una naturaleza jurídica y política completamente diversa frente al resto de grupos parlamentarios. La conformación de los grupos parlamentarios nace de la voluntad expresa de los parlamentarios y se constituye como una facultad integrada en su derecho de representación política (así, STC 109/2016, de 7 de junio, FJ 5). En el caso del Parlamento Vasco, la facultad de conformación de un grupo parlamentario queda condicionada a la concurrencia de un número no inferior a tres de las parlamentarias y parlamentarios (art. 24.1 RPV). Por el contrario, el Grupo Mixto, como también reconoce la posición mayoritaria, se conforma de manera automática y queda integrado a título individual, sin necesidad de actuación o expresión de voluntad alguna, por cualquier parlamentario que no se haya adscrito en otro grupo.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diversidad de situaciones jurídicas entre el Grupo Parlamentario Mixto y el resto de los grupos parlamentarios impide asumir como argumento concluyente para afirmar la inconstitucionalidad de la decisión impugnada un supuesto trato discriminatorio que, en todo caso, deriva de posiciones reglamentarias radicalmente desiguales que no consienten un juicio comparativo.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El argumento de que la incidencia en el núcleo esencial del ius in officium se deriva de que queda afectado el derecho a la autoorganización del Grupo Parlamentario Mixto, reconocido en el art. 25.2 RPV, considero que es una distorsión de la correcta comprensión del principio de autoorganización establecido en dicho precepto en los casos de integración única y de la lógica inherente al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los restantes grupos parlamentarios, la denominación y los acuerdos establecidos para su constitución se fijan mediante una solicitud que tiene carácter previo al reconocimiento del grupo, pues debe figurar preceptivamente en el escrito en que se solicita su constitución (art. 24.4 del RPV). El Reglamento del Parlamento Vasco lo designa como “grupo parlamentario” (art. 24.1 RPV), es decir, con un nombre común escrito con iniciales minúsculas, distinto del nombre propio cuya asignación es preceptiva a petición de quienes pretenden constituirlo.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del Grupo Mixto, la denominación del grupo se establece en el Reglamento del Parlamento Vasco con carácter previo a la integración en él de los parlamentarios a que haya lugar y se expresa, como nombre propio, con iniciales mayúsculas (esta denominación se reitera con la misma ortografía en los siete apartados del art. 25 RPV). En lógica correspondencia, no se hace referencia al nombre, a diferencia de lo que ocurre con los demás grupos parlamentarios, como contenido del acuerdo o reglamento de funcionamiento.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Grupo Mixto formado por un solo parlamentario resulta discutible la procedencia de acuerdos internos de sus miembros o de un reglamento de organización aprobado por mayoría. El art. 25.2 RPV establece que “el Grupo Mixto se regirá por los acuerdos a que internamente lleguen sus miembros. Ante la imposibilidad de alcanzarlos o cuando sobreviniera la ruptura de los acuerdos, el Grupo Mixto, a instancia de cualquiera de sus miembros, procederá a elaborar y aprobar por mayoría absoluta de sus integrantes un reglamento interno de organización y funcionamiento”. Creo que en casos como el presente, en que este grupo está integrado por una única parlamentaria, la idea de que pueda existir un derecho de autoorganización para establecer reglas internas de organización y funcionamiento que pueda quedar comprometido bajo la protección del art. 23.2 CE no resulta razonable. Allí donde, como es este caso, no existe pluralidad de intereses, no cabe afirmar ni la posibilidad de adoptar acuerdos internos entre sus miembros que deban ser respetados por los órganos de la cámara ni, por tanto, una eventual vulneración de aquellos. En ausencia de más de un miembro integrante del Grupo Parlamentario Mixto, el art. 25.2 RPV carece de aplicación posible, ya que exige como premisa una pluralidad de miembros, único caso en que resultaría en hipótesis necesario establecer acuerdos internos referentes a su organización y funcionamiento.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(independientemente de los argumentos antes expuestos) no puedo asumir la conclusión de que se haya visto limitado o restringido un derecho de autoorganización, como parte integrante de su ius in officium, en virtud de una previsión reglamentaria que solo se exige en caso de pluralidad de miembros en el citado grupo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definitiva, al margen de si la decisión sobre la denominación del Grupo Mixto suponía o no una infracción reglamentaria derivada de la ruptura de los usos parlamentarios seguidos en anteriores legislaturas, considero que no se trata de una decisión que haya afectado al núcleo esencial del ius in officium de los demandantes de amparo determinante de la vulneración del art. 23.2 CE, por lo que este motivo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decisión de la mesa del Parlamento Vasco sobre el reparto de la actividad parlamentaria y la asignación de tiempos del Grupo Parlamentario Mixto en su XII legislatura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objeto de esta segunda controversia era determinar si vulnera el art. 23.2 CE la decisión de la mesa del Parlamento Vasco de asignar al Grupo Parlamentario Mixto una capacidad de iniciativa distinta y sensiblemente inferior a la del resto de grupos parlamentarios y un tiempo de intervención en todos los debates de un tercio del previsto para para el resto de grupos.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afirma que es una decisión de la mesa que incide en el núcleo esencial del ius in officium adoptada sin aportar ninguna argumentación que justifique el dispar criterio acogido en relación con el resto de grupos y en contravención del régimen de tratamiento del Grupo Parlamentario Mixto del que se ha dotado el Parlamento Vasco en el ejercicio de su autonomía normativa, ya que el Reglamento del Parlamento Vasco dispone que “la participación del Grupo Mixto en las actividades del Parlamento será idéntica a la de los restantes grupos” (art. 25.1, segundo párrafo) y que “las intervenciones en los debates de los componentes del Grupo Mixto tendrán, en su conjunto, la misma duración que la de un grupo parlamentario” (art. 25.3).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Comparto con la posición mayoritaria que esta concreta decisión incide en el núcleo esencial del derecho de representación política de los demandantes de amparo y, por tanto, en la necesidad de que, por tratarse de una limitación al estatuto del representante político, debe encontrar fundamento en la normativa establecida por el Parlamento Vasco en el ejercicio de su autonomía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pone de manifiesto, y me sumo a ese parecer, la importancia que la jurisprudencia constitucional ha dado tanto a la autonomía normativa de las cámaras legislativas como a la circunstancia de que una vez ordenados los derechos y facultades que corresponden a los representantes parlamentarios pasan a quedar integrados en su estatus propio garantizado por el art. 23.2 CE frente a actos de los órganos de las cámaras. Esa autonomía normativa, sin embargo, no queda limitada a la mera producción reglamentaria, sino que se extiende a su interpretación. Es reiterada la jurisprudencia constitucional en que se señala que a los órganos parlamentarios se les ha de reconocer un margen de interpretación suficiente (así, STC 115/2019, de 16 de octubre, FJ 4). De ese modo, solo cuando como resultado de la interpretación, manifiestamente se innove o contradiga los contenidos de la normativa reglamentaria, se produce una vulneración del art. 23.2 CE (así, SSTC 44/1995, de 13 de febrero, FJ 3, o 226/2004, de 29 de noviembre, FJ 2, en relación con la aprobación de normas parlamentarias interpretativas).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en lo que se refiere a la labor de interpretación de la normativa parlamentaria por parte de los órganos de las cámaras, ha establecido que (a) deben formular una exégesis restrictiva de todas aquellas normas que puedan suponer una limitación al ejercicio de aquellos derechos o atribuciones que integran el estatuto constitucionalmente relevante del representante público y (b) deben motivar, en su caso, las razones de su aplicación por ser esencial para llevar a cabo el juicio de proporcionalidad de la diferencia de trato, ya que, en última instancia, la motivación es lo que permitirá dirimir si la restricción de que se trate, en relación con las atribuciones del resto de diputados, resulta proporcionada por derivarse de su aplicación más beneficios o ventajas para el interés general que perjuicios sobre otros bienes o intereses en conflicto (así, SSTC 151/2017, de 21 de diciembre, FJ 7, o 159/2019, de 12 de diciembre,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aplicación de esta jurisprudencia, considero que un correcto planteamiento de la labor de control constitucional sobre la decisión parlamentaria impugnada no radicaba solo en una confrontación directa entre dicha decisión y la norma reglamentaria, sino que exigía la comprobación de que la decisión estaba debida y suficientemente motivada y, a partir de dicha motivación, en su caso, que la interpretación y aplicación de la normativa reglamentaria no supera o contradecía los márgenes establecidos en dicha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el presente caso, constato que en el inicial acuerdo de la mesa la única razón que se aporta para justificar la desigualdad en la capacidad de iniciativa y de reparto de los tiempos de intervención es que el Grupo Parlamentario Mixto cuenta con una sola representante. El posterior acuerdo denegatorio de la reconsideración instada por los demandantes de amparo es en el que se exponen más detalladamente las razones de la decisión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acuerdo se hace referencia a que se trata de una interpretación razonable de lo establecido en el Reglamento de la Cámara, ya que el art. 25.1 RPV “al establecer que la participación del Grupo Mixto en las actividades del Parlamento será idéntica a la del resto de los grupos, no impide la modulación de la participación efectiva del Grupo Mixto”. Esa conclusión la fundamenta, por un lado, en que la existencia de dos términos de comparación implica la necesidad de un cierto equilibrio entre ellos para poder ser predicada la identidad, pues la igualdad supone “el establecimiento de diferencias en aquellos términos desiguales”; y, por otro, en que toda norma jurídica debe ser interpretada de un modo sistemático, de modo tal que si el art. 24.1 RPV exige para constituir un grupo parlamentario un número no inferior a tres parlamentarios, hubiera bastado al legislador, de haber pretendido que la participación del Grupo Mixto fuera la misma que la del resto de los grupos, establecer que un solo parlamentario pudiera crear grupo; añadiendo que “sería un fraude reglamentario otorgar a una fuerza política sin la representación numéricamente requerida unos derechos que el legislador no tuvo en su voluntad al aprobar el Reglamento de la Cámara”. Desde luego, el letrado del Parlamento Vasco se ha extendido en su escrito de alegaciones profundizando en las razones interpretativas que a su parecer justificarían dicha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conjunto, creo que, aun cuando se trata de una decisión restrictiva del ejercicio del ius in officium de una parlamentaria, se aprecia en la decisión de la mesa del Parlamento Vasco un nivel de esfuerzo relevante en la ponderación de los principios parlamentarios concernidos en la decisión y en la proyección de criterios exegéticos sobre la normativa parlamentaria justificativos de que no se ha adoptado fuera de ese marco regulatorio que conforma el estatuto del Grupo Mixto.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No obstante, existe un aspecto en la motivación de la decisión, que fue controvertido por los demandantes de amparo en su solicitud de reconsideración y reiterado en su demanda, que me suscita reparos para poder concluir su suficiencia desde la perspectiva del control de constitucionalidad. La mesa del Parlamento Vasco dejó sin respuesta la cuestión de por qué si en legislaturas anteriores en que también el Grupo Parlamentario Mixto estaba conformado por un solo integrante no se apreció la necesidad de adoptar una decisión formal sobre asignación de iniciativas y tiempos (legislaturas VIII y X); sin embargo, ese uso parlamentario no ha sido seguido en la presente legislatura.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Asumo que los usos parlamentarios tienen una posición diferente a las normas reglamentarias parlamentarias y que, por su propia naturaleza, son susceptibles de sufrir alteraciones sin necesidad de una modificación normativa. Ahora bien, considero que en aras de despejar cualquier duda sobre las razones que hubieran podido llevar a no seguir un uso parlamentario asentado habría resultado preciso hacer expresas dichas razones para evidenciar que no es el resultado de una mera circunstancia singular ni de un eventual trato desigualitario para con los demandantes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razón expuesta es la que me hubiera podido llevar a admitir, llegado el caso, una eventual vulneración del art. 23.2 CE derivada de la insuficiente motivación de esta concreta decisión de la mesa del Parlamento Vasco.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eventualidad, como también expuse en la deliberación, la estimación del recurso respecto de esa concreta decisión y de su consecuente anulación, hubiera tenido como efecto la retroacción de actuaciones para que la mesa adoptara un nuevo acuerdo con plenitud de su capacidad interpretativa de la reglamentación parlamentaria, como parte integrante de su autonomía normativa, para dar debido cumplimiento a las exigencias de motivación suficiente que también forman parte inherente del derecho del art. 23.2 CE cuando se refieren a decisiones que inciden en el núcleo esencial del ius in officium.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conjunto que formulan los magistrados don Cándido Conde-Pumpido Tourón y don Ramón Sáez Valcárcel, así como la magistrada doña Inmaculada Montalbán Huertas, a la sentencia dictada en el recurso de amparo avocado al Pleno núm. 4885-2020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que nos confiere el artículo 90.2 de la Ley Orgánica del Tribunal Constitucional, y con el máximo respeto a la opinión de la mayoría, formulamos el presente voto particular por discrepar tanto de la fundamentación como del fallo de la sentencia recaída en el presente proceso, en cuanto estima parcialmente las pretensiones planteadas tras considerar que los acuerdos de la mesa del Parlamento Vasco adoptados en relación con las propuestas núms. 2020/2075, relativo a la denominación del Grupo Mixto, y 2020/2094, relativo a los órdenes del día e intervenciones del Grupo Mixto en el Parlamento Vasco, ambos de 13 de agosto de 2020, han vulnerado el derecho de participación política de los recurrentes “en su vertiente del ius in officium” (art. 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sigue, dejamos constancia de los fundamentos de nuestra posición discrepante con el fallo y, también en gran medida, con los razonamientos que sustentan la posición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Consideraciones generales. La discrepancia con la decisión estimatoria de dos de las tres pretensiones de amparo planteadas por la recurrente —que actúa en representación propia y del Grupo Parlamentario Mixto unipersonal del Parlamento Vasco, que ella misma integra—, nos lleva a exponer, en primer lugar, nuestro entendimiento de los criterios generales de enjuiciamiento que, conforme a la doctrina constitucional, habrían de haber presidido de forma escrupulosa la resolución del recurso de amparo, pero que en la decisión de la mayoría no han adquirido suficiente relevancia.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garantía constitucional de la autonomía parlamentaria: alcance y control excepcional de su ejercicio. Tal y como en la decisión mayoritaria se reconoce expresamente, en consolidada y reiterada doctrina constitucional previa hemos conformado como criterio rector de nuestro control de los actos parlamentarios que los órganos rectores de las Cámaras disponen de un amplio margen en la interpretación de la legalidad parlamentaria. Esta potestad aplicativa e interpretativa no puede ser desconocida por este Tribunal Constitucional, pues es necesaria para atender y resolver las variadas situaciones y pretensiones no específicamente previstas en las normas que, en el devenir de la actividad parlamentaria, pueden producirse o formularse. Los Parlamentos son, según hemos tenido ocasión de subrayar, “ante todo, escenarios privilegiados del debate público” (STC 226/2004, de 29 de noviembre, FJ 6), concretamente un debate político institucionalizado mediante el establecimiento previo de unas reglas de juego en las que se concreta la autonomía parlamentaria y sobre cuyo contenido solo de manera excepcional debe extenderse nuestra jurisdicción, en aras del respeto a esa misma autonomía. Hemos añadido, en tal sentido, que “el respeto a la autonomía parlamentaria lo es, sobre todo, a unas reglas de juego que institucionalizan el debate político y sobre cuyo contenido solo de manera excepcional puede extenderse nuestra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hemos señalado que la autonomía parlamentaria garantizada constitucionalmente (art. 72 CE), y la propia naturaleza del art. 23.2 CE como derecho de configuración legal, nos obligan también a otorgar a los Parlamentos y, significativamente, a sus órganos rectores, un necesario y amplio margen de aplicación en la interpretación de la legalidad parlamentaria que este tribunal no puede desconocer (por todas, la STC 242/2006, de 24 de julio, FJ 4). El Tribunal, al analizar las discrepancias que puedan producirse sobre la aplicación de la legalidad, debe tomar en cuenta la especial relevancia de la autonomía parlamentaria y, como consecuencia de ello, la facultad que la Constitución reserva a las Cámaras de establecer, interpretar y aplicar las normas que rigen su organización y funcionamiento, pues la ordenación reglamentaria goza de amplia libertad de configuración, siempre que cohoneste y sea respetuosa con el derecho de los parlamentarios a desempeñar su cargo representativo [SSTC 139/2017, de 29 de noviembre, en los FFJJ 3 a), 4 b) y 5, y 159/2019, de 12 de diciembre,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protección del ius in officium parlamentario. Hemos dicho en sucesivas ocasiones que el derecho fundamental que garantiza el art. 23.2 CE, como el que reconoce el apartado 1 del mismo precepto constitucional, encarna el derecho de participación política en el sistema democrático consagrado por el art. 1 CE y es la forma esencial de ejercicio de la soberanía por el conjunto de los ciudadanos (SSTC 51/1984, de 25 de abril, FJ 2; 38/1999, de 22 de marzo, FJ 2; 107/2001, de 23 de abril, FJ 3; 64/2002, de 11 de marzo, FJ 2, y 177/2002, de 14 de octubre, FJ 3). Se trata de un derecho de configuración legal, en el que se integran los reglamentos parlamentarios cuya función es la “ordenación interna de la vida de las Cámaras íntimamente vinculada a la naturaleza representativa y al pluralismo político (arts. 66.1 y 1.1 CE)” (STC 44/1995, de 13 de febrero, FJ 3). Como hemos establecido, “compete básicamente a los Reglamentos de las Cámaras fijar y ordenar los derechos y atribuciones que corresponden a los parlamentarios, de modo que, una vez reconocidos y configurados aquellos derechos y facultades, se integran en su estatus representativo” (STC 143/2016, de 19 de septiembre,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apreciar la vulneración de los derechos fundamentales de participación política alegados en el presente caso, sería necesario que se hubiera producido una restricción ilegítima de los derechos que a la recurrente se le reconocen en las normas internas de la Cámara. Compete a la ley y, en determinadas materias, a los reglamentos parlamentarios, fijar y ordenar, precisamente, esos derechos y facultades que corresponden a los distintos cargos y funciones públicas. Sin embargo, no cualquier acto que infrinja el estatuto del parlamentario lesiona el derecho fundamental de participación política del art. 23.2 CE. A estos efectos, como hemos declarado de forma reiterada, solo poseen relevancia constitucional los derechos o facultades atribuidos al representante que pertenezcan al núcleo de su función representativa parlamentaria, como son, indudablemente, el ejercicio de la función legislativa o de control de la acción del Gobierno (STC 141/2007, de 18 de junio, FJ 3), o la facultad de constituir grupo parlamentario, en la forma y con los requisitos que el reglamento establece (STC 64/2002, de 11 de marzo, FJ 3). Es, por ello, que solo puede apreciarse la vulneración del art. 23.2 CE “si los propios órganos de las asambleas impiden o coartan ilegítimamente su práctica o adoptan decisiones jurídicamente reprobables que contraríen la naturaleza de la representación o la igualdad de los representantes (SSTC 38/1999, de 22 de marzo, FJ 2; 107/2001, de 23 de abril, FJ 3; 203/2001, de 15 de octubre, FJ 2, y ATC 118/1999, de 10 de mayo)” (STC 141/2007, de 18 de junio, FJ 3). Lo que entendemos no ocurre en el presente caso, ya que los acuerdos de la mesa de la Cámara que han sido cuestionados no desconocieron ni, por tanto, vulneraron el estatuto jurídico representativo de la recurrente, sino que se limitaron a modular sus intervenciones para evitar la sobrerrepresentación de un grupo integrado por una única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singular naturaleza del Grupo Mixto. El correcto enjuiciamiento del presente caso exigía tener en cuenta la singular naturaleza del Grupo Parlamentario Mixto en este caso integrado de forma unipersonal por la recurrente. Se trata de una solución técnica generalizada, con regímenes distintos en las distintas asambleas autonómicas, dirigida a solventar la exigencia de su funcionamiento a través de los grupos parlamentarios en aquellos casos en los que alguna de las candidaturas que hayan concurrido al proceso electoral no hayan alcanzado el mínimo de electos exigido para la constitución de grupo propio [tres representantes, en el caso del Reglamento del Parlamento Vasco (RPV), según establece su art. 24]. El funcionamiento de las asambleas parlamentarias gira, en el modelo actual, en torno al papel protagonista que desempeñan los grupos parlamentarios que, a excepción precisamente del grupo mixto, se constituyen bajo la premisa de la homogeneidad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del art. 25 RPV pone de manifiesto que la integración en este grupo se hace a título individual, y opera de forma automática para quienes, habiendo sido electos, no quieran o no puedan integrarse en algún grupo (bien por no alcanzar el mínimo de tres exigido por el propio Reglamento del Parlamento Vasco, bien por otras circunstancias que puedan acontecer a lo largo de la legislatura). El régimen jurídico y la organización interna son fijadas por el reglamento con un carácter supletorio y de mínimos, al primar los acuerdos que se adopten por los miembros del grupo, lo que pone de relieve que la regulación reglamentaria parte de la premisa de una composición heterogénea del grupo mixto en lo político, y plural en cuanto al número. Estas circunstancias, que dan sentido a la regulación aplicada, no concurren en el presente caso lo que justifica la fijación de un criterio específico que, en relación con el resto de los grupos parlamentarios, ha de ser adecuado a la representación ciudadana que materialmente ostentan, tal y como la mesa acordó en este 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de una situación nueva. Las circunstancias que caracterizan el presente caso, en cuanto se trata de un Grupo Mixto integrado por una sola representante, ya han sido abordadas por este tribunal con anterioridad, admitiendo la constitucionalidad tanto de las previsiones reglamentarias que limiten sus facultades y derechos en atención al número de parlamentarios que integra cada grupo (STC 141/2007, FJ 4), como la de los acuerdos o normas intraparlamentarias que interpretan el Reglamento de la Cámara atendiendo a criterios de proporcionalidad en la representación (SSTC 214/1990, de 20 de diciembre, FJ 6; y 44/1995, FJ 4). Hemos señalado que “una atemperación de las facultades de actuación parlamentaria del Grupo Mixto que obedezca al hecho de encontrarse este formado por un único parlamentario, no puede reputarse contraria al art. 23.2 de la Constitución, siempre que el parlamentario en cuestión no sea privado de sus derechos individuales y de participación en la Cámara, como representante que es de los ciudadanos” (STC 44/1995, FJ 4). Como veremos, dicha modulación adquiere pleno sentido cuando se orienta a impedir una sobrerrepresentación de un grupo integrado por un solo miembro; esto es, a impedir una posición preponderante de unos sobre otros (STC 159/2019, FJ 10), teniendo en cuenta los principios de representatividad y del pluralismo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estas tres consideraciones generales, reflejaremos a continuación nuestra posición discrepante en relación con la solución estimatoria que la mayoría ha dado a las dos pretensiones de amparo que han sido atendidas.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decisión de la mesa del Parlamento Vasco sobre la denominación del Grupo Parlamentario Mixto en la legislatura XII.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mayoritaria estima la queja sobre la base de una doble argumentación, que constituye doctrina ex novo que no compartimos.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otorga especial relevancia al hecho de que el art. 25 RPV no haga referencia expresa alguna a un eventual cambio de denominación del Grupo Mixto, así denominado por el reglamento. En su apartado primero, dicho precepto establece el carácter ope legis de su constitución y de la integración en el mismo de las parlamentarias o parlamentarios que no hayan quedado integrados en un grupo constituido en los plazos reglamentarios. Por tanto, ninguna norma reglamentaria impone o prevé la posibilidad pretendida de cambio de denominación.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del Pleno fundamenta su tesis estimatoria en el inciso primero del art. 25.2 RPV, relativo a la organización y funcionamiento interno del citado grupo. Afirma la sentencia, de forma reiterada, la relevancia política que tiene la denominación del grupo parlamentario para permitir la identificación de su actividad ad intra y ad extra, y que la decisión de dar una denominación al grupo “se integra por la fuerza obligatoria, vinculante y directa del Reglamento de la Cámara vasca en el estatuto jurídico que determina la organización y funcionamiento de dicho grupo, lo que también engloba la denominación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 decisiva conclusión no se deduce, en modo alguno, de la norma analizada, pues la visibilidad política de la labor parlamentaria puede ser alcanzada a través de los cauces habituales de comunicación e interrelación directa o indirecta con la sociedad. La recurrente también puede usar el nombre de su formación política cuantas veces quiera en el uso de sus funciones; tanto en sus intervenciones orales como en la documentación a través de las que articula sus iniciativas.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Insistimos, se trata de un razonamiento que no cuenta con base normativa alguna. Al contrario, puede apreciarse que orilla la voluntad de la Cámara vasca, plasmada en su reglamento, según la cual para alcanzar un grupo parlamentario propio es preciso alcanzar un umbral mínimo de representación.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argumento adicional, la decisión mayoritaria hace referencia al uso parlamentario como argumento para defender la necesidad de reconocer a la recurrente un derecho a establecer una denominación específica del Grupo Mixto en el caso presente y, habría que añadir, en casos futuros. Este uso parlamentario vendría dado porque en alguna otra legislatura la mesa ha admitido añadir nombres específicos al Grupo Mixto. Sin embargo, es dudoso que una práctica utilizada en contadas ocasiones pueda considerarse uso parlamentario, esto es, fuente de Derecho y derechos. En todo caso, la mesa, razonadamente a nuestro entender, ha decidido cambiar dicha práctica, que no un uso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estimatoria de la que discrepamos no construye ni explicita un canon que responda a la cuestión que consideramos clave —si la denominación del Grupo parlamentario forma parte o no del contenido esencial del ius in officium parlamentario— por lo que, ampliando de facto su contenido, obvia la obligación de respetar la autonomía parlamentaria en la interpretación del reglamento, primando frente a esta los “usos parlamentarios” de anteriores legislaturas, conformadas con diferentes formaciones políticas, diferentes mayorías y, es de suponer, diferentes representantes electos en la mayor parte de los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consideramos que esta pretensión de amparo debía haber sido desestimada de acuerdo con los siguientes argumentos: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norma reglamentaria de la Cámara vasca no contiene expresamente el mandato de incluir una denominación específica y diferente para el Grupo Mixto, a diferencia de lo previsto para el resto de los grupos parlamentarios, a cuyos integrantes sí obliga a incluir de modo expreso una determinada denominación (art. 24.4 RPV).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No forma parte del contenido esencial del ius in officium del representante electo el uso de una determinada denominación del grupo parlamentario en el que se integre si lo es del Grupo Mixto, al que se accede de modo obligatorio y automático, según dispone el art. 25.1 RPV. Que se agregue o no aquella denominación específica a la del Grupo Mixto no impide de ninguna forma el ejercicio de las funciones parlamentarias que le son propias a la única parlamentaria que lo integra.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propia configuración reglamentaria del Grupo Mixto —automática y residual— no prevé que dicho grupo tenga una denominación específica, más allá de la genérica de “mixto” que figura en la norma que prevé su existencia.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autonomía parlamentaria de la que goza la Cámara vasca y sus órganos rectores le permite a la mesa interpretar el art. 25 RPV como lo ha hecho, y acordar, en consecuencia, la denegación de la denominación pretendida por la recurrente, pues el citado precepto no contempla de modo expreso aquella posibilidad, por lo que aceptar o no aquella propuesta entra dentro del margen de apreciación de la mesa que, en ejercicio de nuestra jurisdicción de amparo, debemos respetar.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Los denominados “usos parlamentarios” sirven para la interpretación y aplicación de las normas reglamentarias en la actividad y práctica parlamentaria, en supuestos de ambigüedad o insuficiencia de aquellas, pero no pueden incurrir en contradicción con la misma ni constituyen tampoco —en términos de igualdad de trato— un término de comparación válido para imponer a una diferente composición de la Cámara las decisiones que, en atención a circunstancias y mayorías diferentes, fue adoptada en anteriores legislaturas. Los usos parlamentarios precedentes, pese a su valor hermenéutico, no pueden congelar las decisiones que, sin vulnerar el reglamento, pueden adoptar las Cámaras parlamentarias en atención a una nueva composición representativa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Las iniciativas de la recurrente, en su condición de representante electa por una concreta candidatura o formación política, pueden ser conocidas dentro de la Cámara vasca por medio de los sistemas de comunicación y publicación previstos reglamentariamente. De otro lado, la formación política a la que aquella pertenece dispone, también, de toda clase de medios para difundir ad extra el sentido, alcance y contenido de sus iniciativas parlamentarias y de la actividad que desarrolle en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pretensión de amparo relativa a la decisión de la mesa del Parlamento Vasco sobre el reparto de la actividad parlamentaria y la asignación de tiempos del Grupo Parlamentario Mixto.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estima la pretensión de amparo relativa al acuerdo de la mesa sobre determinación de los órdenes del día y de los tiempos de intervención en los debates. La mayoría destaca que el reglamento no establece en su articulado ninguna distinción entre los grupos parlamentarios, aludiendo siempre a todos ellos en su conjunto; y añade que el sistema participativo por el que ha optado la norma reglamentaria vasca es el de igualdad en el tratamiento de todos los grupos, con independencia del número de sus componentes. Sobre la base de esta interpretación, la sentencia descarta la posibilidad de modular las facultades de iniciativa y de intervención del Grupo Mixto, argumentando además la desigualdad de trato que el acuerdo de la mesa impone al Grupo Mixto en relación con los otros grupos parlamentarios, lo que significaría, de nuevo, la afectación al contenido esencial del ius in officium de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nuestra opinión discrepante, al hacerlo se realiza una interpretación estrictamente literal del párrafo segundo del art. 25.1 RPV, según el cual “[l]a participación del Grupo Mixto en las actividades del Parlamento será idéntica a la de los restantes grupos”. Tal interpretación orilla la estructura y funcionamiento de la Cámara, tal y como el reglamento la establece, y desatiende al resto de normas que regulan la estructura e integración de los representantes electos en grupos parlamentarios. Es, pues, una interpretación asistemática, que rompe con las lógicas de la representación proporcional imperante en nuestro parlamentarismo.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disentimiento, en este punto, tiene que ver con la premisa de todo el razonamiento estimatorio, pues no distingue lo que es distinto, e impone un trato igual a lo que no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que carezca de relevancia la referencia que el letrado del Parlamento vasco ha hecho en este proceso a la diferencia terminológica existente entre la versión en euskera (que exige un trato análogo) y la versión en castellano (que se refiere a un trato idéntico), entendemos que la previsión de trato igual establecida en el art. 25.1 RPV lo que exige es un tratamiento materialmente igual, dado que viene establecida sobre la base hipotética de un Grupo Mixto plural, integrado por representantes de diversas candidaturas que, por sí mismas, no han obtenido la representación electoral exigida para formar un grupo parlamentario propio. Así se deduce de las exigencias establecidas para formarlo, de la interpretación sistemática del precepto aplicado y de la referencia —siempre en plural— que el resto de apartados del art. 25 RPV hace a la necesidad de llegar a acuerdos internos de organización entre sus miembros, a la previsión de ruptura de dichos acuerdos, a la necesidad de atender a la pluralidad interna del grupo, a las intervenciones en los debates, a la distribución de los escaños correspondientes al Grupo Mixto, a la presencia en ponencias no legislativas de cada fuerza política que integre el grupo, a la posibilidad de sustituirse entre sí sus miembros y, en fin, a la posibilidad de formular o participar, con una sola firma, en las actividades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Extender esta configuración legal a un grupo mixto unipersonal resulta inadecuado y significa declarar inconstitucional cualquier modulación atenta a la representación electoral obtenida pese a que, sin duda, encuentra plena justificación en el hecho de no haber alcanzado la recurrente la suficiente representatividad como para poder constituir un grupo parlamentario propio, para lo que en la cámara vasca es suficiente con obtener tres representantes electos, es decir, el 4 por 100 del arco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innegable que la posibilidad de intervenir en los debates parlamentarios está directamente relacionada con el núcleo de la función representativa, como instrumento de deliberación, expresión de las propias posturas y control del Gobierno. Pero también es innegable, y así lo hemos reconocido, que se trata de un ámbito en el que cobra especial relevancia la autonomía parlamentaria y la facultad que la Constitución reserva a las Cámaras de establecer, interpretar y aplicar de forma razonable las normas de organización de sus debates (AATC 9/1998, de 12 de enero, FJ 1, y 614/1988, de 23 de mayo,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exigencia de un “idéntico” tratamiento de los grupos parlamentarios no puede ser configurada como la imposición constitucionalmente inexorable de que la participación del Grupo Mixto, cuando está formado por un solo integrante, sea exacta y materialmente igual a la de los demás grupos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la interpretación de la legalidad parlamentaria realizada por la mesa del Parlamento vasco, aun aceptando que no es la única posible, no resulta injustificada. Tampoco es desproporcionada ni desconoce el estatuto propio de la parlamentaria recurrente, pues forma parte de todos los órganos parlamentarios, incluidas todas las comisiones y la diputación permanente, con la posibilidad de intervenir en todos los asuntos que se traten en la Cámara. El acuerdo impugnado no limita la formulación de cuantas iniciativas o enmiendas la recurrente estime oportunas; lo que hace es limitar los tiempos disponibles para su presentación y debate en el pleno, lo que obliga a la afectada a priorizar y seleccionar los contenidos que pretenda debatir. Pero esta circunstancia se da respecto de todos los grupos, pues hay tiempos y número máximos de iniciativas y enmiendas para todos los grupos. Es decir, se encuentra ya considerablemente sobrerrepresentada en el reglamento (lo cual no es en sí anómalo, sino frecuente en sistemas parlamentarios que son deferentes con la protección de las minorías).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por todo ello, que la mesa de la Cámara, con su decisión, no desconoció ni limitó de forma indebida los derechos inherentes a la condición de cargo público que son reconocidos reglamentariamente de forma individual a quienes obtengan representación. Al mismo tiempo, evitó razonablemente que, beneficiándose de su situación de única diputada integrante del Grupo Mixto, pasara a gozar de una injustificada posición preponderante en perjuicio de la representatividad del resto de parlamentarios que, por integrarse en grupos parlamentarios propios de composición más numerosa, ven racionalizado el ejercicio de ciertas funciones inherentes al núcleo de la función representativa. Así, a título de ejemplo, los demás parlamentarios no podrán por sí solos o individualmente formular iniciativas tales como la presentación de enmiendas a los proyectos de ley (art. 134 y 135.1 RPV), presentar proposiciones de ley (art. 148.1 RPV), o proposiciones no de ley (art. 173 RPV) o enmiendas a estas (art. 174.3 RPV). En estos y otros casos, se requerirá la iniciativa del respectivo grupo parlamentario, o cuando menos su apoyo o la firma del portavoz.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atribuyéndole una sobrerrepresentación que no le corresponde, la decisión de la mayoría permite a la demandante de amparo actuar con doble título, individualmente y como grupo, pudiendo formular enmiendas, votos particulares, interpelaciones, preguntas, mociones o cualesquiera otras iniciativas parlamentarias (art. 25.8 RPV).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desde la estricta función de control que nos corresponde para garantizar los derechos fundamentales de quienes han sido elegidos parlamentarios, y con expresa atención al debido respeto a la autonomía parlamentaria, entendemos que los acuerdos impugnados no lesionan el ius in officium de la parlamentaria recurrente en el ejercicio del cargo, ni del Grupo Mixto en la práctica de las funciones que tienen asignadas los grupos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Creemos necesario expresar una reflexión adicional dirigida a hacer visible esta discrepancia. Para ello, es ilustrativo atender a los resultados electorales oficialmente proclamados de las elecciones autonómicas que alumbraron la XII legislatura en el País Vasco.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Cámara vasca, integrada por un número igual de representantes de cada territorio histórico, la conforman setenta y cinco parlamentarios. La candidatura en la que se integró la recurrente obtuvo una representación del 1,96 por 100 en el conjunto de las tres circunscripciones electorales, y de un 3,81 por 100 en Álava, por la que obtuvo ese único escaño.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tenor de estos datos, resulta manifiestamente desproporcionada la pretensión de obtener el reconocimiento de la misma participación en la actividad parlamentaria —que es de por sí limitada— que el resto de los parlamentarios integrados en grupos propios. Para llegar a esta conclusión objetiva no es necesario utilizar como término de comparación al grupo mayoritario de la Cámara (integrado por los candidatos del Partido Nacionalista Vasco) que obtuvieron un porcentaje de votos del 39,07 por 100, casi veinte veces mayor. Basta la comparación con la segunda candidatura menos votada (la coalición electoral del Partido Popular y Ciudadanos), que obtuvo un resultado electoral del 6,77 por 100 de quienes votaron, esto es, algo más del triple del resultado obtenido por la formación política a la que representa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contraste comparativo entre resultados debiera haber llevado a considerar razonable y proporcionado que, a falta de norma expresa que contemplase la situación de un Grupo Mixto integrado por una sola parlamentaria de la Cámara, la mesa modulara su participación en los términos establecidos en el acuerdo que se impugna. La razonabilidad del trato diferencial, así como la ausencia de previsión normativa expresa, permite calificar de justificada y proporcionada la modulación de la posibilidad de intervención parlamentaria cuestionada en el recurso de amparo que, por las razones expuestas, debió ser también desestimado en este extremo.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