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tener por desistida la solicitud de suspensión cautelar de la condena.</w:t>
            </w:r>
          </w:p>
          <w:p w:rsidRPr="00D13423" w:rsidR="00AD51A7" w:rsidRDefault="00AD51A7">
            <w:pPr>
              <w:rPr/>
            </w:pPr>
            <w:r w:rsidRPr="&lt;w:rPr xmlns:w=&quot;http://schemas.openxmlformats.org/wordprocessingml/2006/main&quot;&gt;&lt;w:color w:val=&quot;800080&quot; /&gt;&lt;w:szCs w:val=&quot;24&quot; /&gt;&lt;/w:rPr&gt;">
              <w:rPr/>
              <w:t xml:space="preserve">Archívese la presente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27 de abril de 1999, el Procurador de los Tribunales don José Periáñez González, en representación de don Venancio Maseda Carramiñana interpuso recurso de amparo contra la Sentencia dictada por la Sección Decimosexta de la Sala de lo Penal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admitió a trámite la demanda de amparo por providencia de 22 de febrero de 2000. Asimismo, la Sala acordó, mediante providencia de igual fecha, la formación de la presente pieza separada para la tramitación del incidente de suspensión y concedió a la parte recurrente y al Ministerio Fiscal un plazo común de tres días para que alegaran lo que estimasen pertinente sobre dicha suspensión de conformidad con lo previsto en el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13 de marzo de 2000 tuvo entrada en el Registro general de este Tribunal escrito de la representación procesal del recurrente en amparo manifestando que, de conformidad con el deseo de su representado, desiste del incidente de suspensión ya que ha ido satisfaciendo a plazos las dos multas que le fueron impuestas y no hay riesgo de que se le exija la responsabilidad personal subsidiaria prevista de sesenta y treinta días respectivamente.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posterioridad a la apertura de la pieza separada de suspensión, el recurrente manifiesta su voluntad de desistir del incidente de suspensión cautelar de la ejecución de la condena, ya que ha ido satisfaciendo a plazos las dos multas que le</w:t>
      </w:r>
    </w:p>
    <w:p w:rsidRPr="00C21FFE" w:rsidR="00AD51A7" w:rsidRDefault="00AD51A7">
      <w:pPr>
        <w:rPr/>
      </w:pPr>
      <w:r w:rsidRPr="&lt;w:rPr xmlns:w=&quot;http://schemas.openxmlformats.org/wordprocessingml/2006/main&quot;&gt;&lt;w:lang w:val=&quot;es-ES_tradnl&quot; /&gt;&lt;/w:rPr&gt;">
        <w:rPr/>
        <w:t xml:space="preserve">fueron impuestas y no hay riesgo de que se le exija la responsabilidad subsidiaria prevista de sesenta y treinta días respectivamente.  . La decisión del desistimiento firmada por el Abogado y Procurador con las manifestaciones anteriormente expuestas es</w:t>
      </w:r>
    </w:p>
    <w:p w:rsidRPr="00C21FFE" w:rsidR="00AD51A7" w:rsidRDefault="00AD51A7">
      <w:pPr>
        <w:rPr/>
      </w:pPr>
      <w:r w:rsidRPr="&lt;w:rPr xmlns:w=&quot;http://schemas.openxmlformats.org/wordprocessingml/2006/main&quot;&gt;&lt;w:lang w:val=&quot;es-ES_tradnl&quot; /&gt;&lt;/w:rPr&gt;">
        <w:rPr/>
        <w:t xml:space="preserve">de suyo suficiente para que se resuelva el presente incidente, teniendo por desistido de la solicitud de suspensión cautelar de la condena al demandante de amparo y acordando, sin más, el archivo de la pieza separada formada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tener por desistida la solicitud de suspensión cautelar de la condena.</w:t>
      </w:r>
    </w:p>
    <w:p w:rsidRPr="" w:rsidR="00AD51A7" w:rsidRDefault="00AD51A7">
      <w:pPr>
        <w:rPr/>
      </w:pPr>
      <w:r w:rsidRPr="&lt;w:rPr xmlns:w=&quot;http://schemas.openxmlformats.org/wordprocessingml/2006/main&quot;&gt;&lt;w:szCs w:val=&quot;24&quot; /&gt;&lt;/w:rPr&gt;">
        <w:rPr/>
        <w:t xml:space="preserve">Archívese la presente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